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1.7</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01.09.2026 -</w:t>
            </w:r>
            <w:proofErr w:type="gramStart"/>
            <w:r>
              <w:t xml:space="preserve"> ..</w:t>
            </w:r>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01.09.2026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w:t>
            </w:r>
          </w:p>
        </w:tc>
        <w:tc>
          <w:tcPr>
            <w:tcW w:w="3581" w:type="dxa"/>
          </w:tcPr>
          <w:p w14:paraId="33825778"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w:t>
            </w:r>
            <w:r>
              <w:t>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1.7</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p w14:paraId="4CA16D7D" w14:textId="77777777" w:rsidR="00B607B4" w:rsidRDefault="00000000">
      <w:pPr>
        <w:pStyle w:val="Listapunktowana"/>
      </w:pPr>
      <w:r>
        <w:t>„Nowa oferta” — nowy zielony przycisk po prawej stronie paska nawigacji, rozpoczynający czystą kalkulację (czyści kalkulator, dane klienta i zestawienie). Kliknięcie zakładki „Kalkulator” działa teraz tak samo.</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Zmiana</w:t>
            </w:r>
          </w:p>
        </w:tc>
        <w:tc>
          <w:tcPr>
            <w:tcW w:w="6908" w:type="dxa"/>
          </w:tcPr>
          <w:p w14:paraId="4A762646" w14:textId="77777777" w:rsidR="00F95910" w:rsidRDefault="00000000">
            <w:r>
              <w:t>Transport liczony automatycznie z trasy dostawy. Handlowiec rozwija sekcję „Trasa i transport” w podsumowaniu, wpisuje adres dostawy (podpowiadany z kartoteki klienta) i otrzymuje rzeczywistą odległość drogową z magazynu. Koszt wyliczany jest według cennika przewoźnika: do 100 km – 1344 zł, 101–223 km – 1680 zł, 224–350 km – 7,50 zł/km, powyżej 350 km – 6,50 zł/km. Liczba kursów to tonaż całej oferty podzielony przez ładowność ciężarówki (21 t) i zaokrąglony w górę – nawet 1 tona oznacza opłatę za cały kurs. Koszt dzielony jest przez tonaż oferty i doliczany do ceny jako €/t, a dodanie kolejnej pozycji automatycznie przelicza transport we wszystkich pozycjach zestawienia. Elementy 13,6–15,1 m to dopłata 250 zł do każdego kursu; elementy dłuższe niż 15,1 m lub szersze niż 2,4 m wymagają wyceny indywidualnej u przewoźnika i wtedy kwotę wpisuje się ręcznie. Odległość można w każdej chwili nadpisać ręcznie, więc awaria serwisu map nigdy nie blokuje wyceny.</w:t>
            </w:r>
          </w:p>
        </w:tc>
      </w:tr>
      <w:tr w:rsidR="00F95910" w14:paraId="02EE2892" w14:textId="77777777">
        <w:tc>
          <w:tcPr>
            <w:tcW w:w="1948" w:type="dxa"/>
          </w:tcPr>
          <w:p w14:paraId="74E31303" w14:textId="77777777" w:rsidR="00F95910" w:rsidRDefault="00000000">
            <w:r>
              <w:t>Zmiana</w:t>
            </w:r>
          </w:p>
        </w:tc>
        <w:tc>
          <w:tcPr>
            <w:tcW w:w="6908" w:type="dxa"/>
          </w:tcPr>
          <w:p w14:paraId="465D435D" w14:textId="77777777" w:rsidR="00F95910" w:rsidRDefault="00000000">
            <w:r>
              <w:t>Cennik transportowy i parametry przewozu w panelu administratora. Administrator ustawia adres nadania, ładowność ciężarówki i dopłatę za elementy ponadwymiarowe oraz edytuje pasma cennika – każde pasmo ma ryczałt albo stawkę za kilometr. Stawki podaje się w złotych, dokładnie tak, jak kwotuje je przewoźnik; przeliczenie na euro idzie po kursie z ustawień i jest zamrażane w zapisanej ofercie, więc późniejsza zmiana cennika nie rusza ofert już wycenionych.</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p w14:paraId="2FCA2B37" w14:textId="77777777" w:rsidR="00B607B4" w:rsidRDefault="00000000">
      <w:pPr>
        <w:pStyle w:val="Listapunktowana"/>
      </w:pPr>
      <w:r>
        <w:t>Ochrona przed utratą niezapisanych zmian — przy rozpoczęciu nowej oferty, otwarciu innej oferty, przejściu na inną zakładkę oraz zamknięciu / odświeżeniu karty przeglądarki pojawia się ostrzeżenie z wyborem „Zapisz i kontynuuj” / „Odrzuć zmiany” / „Anuluj”. Okno ostrzeżenia jest tłumaczone (PL / EN / CS / DE).</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Poprawka</w:t>
            </w:r>
          </w:p>
        </w:tc>
        <w:tc>
          <w:tcPr>
            <w:tcW w:w="6908" w:type="dxa"/>
          </w:tcPr>
          <w:p w14:paraId="40FB1345"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5951C669" w14:textId="77777777">
        <w:tc>
          <w:tcPr>
            <w:tcW w:w="1948" w:type="dxa"/>
          </w:tcPr>
          <w:p w14:paraId="73F8E489" w14:textId="77777777" w:rsidR="00F95910" w:rsidRDefault="00000000">
            <w:r>
              <w:t>Zmiana</w:t>
            </w:r>
          </w:p>
        </w:tc>
        <w:tc>
          <w:tcPr>
            <w:tcW w:w="6908" w:type="dxa"/>
          </w:tcPr>
          <w:p w14:paraId="2E644FAF" w14:textId="77777777" w:rsidR="00F95910" w:rsidRDefault="00000000">
            <w:r>
              <w:t xml:space="preserve">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t>
            </w:r>
            <w:r>
              <w:lastRenderedPageBreak/>
              <w:t>wysyłki - Moje oferty, Panel seniora i Panel administratora.</w:t>
            </w:r>
          </w:p>
        </w:tc>
      </w:tr>
      <w:tr w:rsidR="00F95910" w14:paraId="7926EBAB" w14:textId="77777777">
        <w:tc>
          <w:tcPr>
            <w:tcW w:w="1948" w:type="dxa"/>
          </w:tcPr>
          <w:p w14:paraId="3135A22E" w14:textId="77777777" w:rsidR="00F95910" w:rsidRDefault="00000000">
            <w:r>
              <w:lastRenderedPageBreak/>
              <w:t>Zmiana</w:t>
            </w:r>
          </w:p>
        </w:tc>
        <w:tc>
          <w:tcPr>
            <w:tcW w:w="6908" w:type="dxa"/>
          </w:tcPr>
          <w:p w14:paraId="719B9819"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631A6877" w14:textId="77777777">
        <w:tc>
          <w:tcPr>
            <w:tcW w:w="1948" w:type="dxa"/>
          </w:tcPr>
          <w:p w14:paraId="652BF13C" w14:textId="77777777" w:rsidR="00F95910" w:rsidRDefault="00000000">
            <w:r>
              <w:t>Poprawka</w:t>
            </w:r>
          </w:p>
        </w:tc>
        <w:tc>
          <w:tcPr>
            <w:tcW w:w="6908" w:type="dxa"/>
          </w:tcPr>
          <w:p w14:paraId="61D27D36"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r w:rsidR="00F95910" w14:paraId="631A6877" w14:textId="77777777">
        <w:tc>
          <w:tcPr>
            <w:tcW w:w="1948" w:type="dxa"/>
          </w:tcPr>
          <w:p w14:paraId="652BF13C" w14:textId="77777777" w:rsidR="00F95910" w:rsidRDefault="00000000">
            <w:r>
              <w:t>Poprawka</w:t>
            </w:r>
          </w:p>
        </w:tc>
        <w:tc>
          <w:tcPr>
            <w:tcW w:w="6908" w:type="dxa"/>
          </w:tcPr>
          <w:p w14:paraId="61D27D36" w14:textId="77777777" w:rsidR="00F95910" w:rsidRDefault="00000000">
            <w:r>
              <w:t>Po kliknięciu „Nowa oferta” lub zakładki „Kalkulator” podczas edycji zapisanej oferty pojawiało się ostrzeżenie o niezapisanych zmianach, mimo że nowa oferta była pusta i nic w niej nie zmieniono. Kalkulator porównywał stan z nieaktualnym punktem odniesienia sprzed wyczyszczenia formularza. Punkt odniesienia jest teraz odświeżany od razu po rozpoczęciu nowej oferty, więc ostrzeżenie pojawia się dopiero, gdy handlowiec faktycznie coś wprowadzi.</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Tryb wysokiego kontrastu w nowoczesnych kolorach. Wysoki kontrast – zarówno jasny, jak i ciemny – korzysta teraz z tej samej palety barw co zwykły motyw; handlowcy zgłaszali, że wcześniejsza wersja czerń-na-bieli wygląda topornie. „Wysoki kontrast” oznacza od teraz większą i grubszą czcionkę, powiększenie widoku o 18% oraz grubsze obramowania pól, kart i wierszy podsumowania, przy zachowaniu czytelnych kolorów interfejsu. Przełącznik trybu w pasku nawigacji dostał spójny wygląd (akcent zamiast pełnej czerni). Zmiana obejmuje kalkulator, listę ofert, panel Analiza, panel seniora oraz ustawienia administratora.</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2341D0B1" w14:textId="77777777" w:rsidR="008C3B75" w:rsidRDefault="006F108A" w:rsidP="008C3B75">
      <w:pPr>
        <w:pStyle w:val="Listapunktowana"/>
      </w:pPr>
      <w:r>
        <w:t xml:space="preserve">Panel „Analiza” wraz z migracją „decyzja klienta” (018) jest już na środowisku produkcyjnym. Po wdrożeniu wykryto i naprawiono błąd zapisu decyzji klienta - patrz tabela „Zarządzanie </w:t>
      </w:r>
      <w:r>
        <w:lastRenderedPageBreak/>
        <w:t>ofertami” (przed poprawką funkcja nie zapisywała ani wygranej, ani przegranej). Migracje 001-017 są na produkcji od wdrożenia wersji 1.5 (17.08.2026).</w:t>
      </w:r>
    </w:p>
    <w:p w14:paraId="2EEFCB5A"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40590640" w14:textId="77777777" w:rsidR="008C3B75" w:rsidRDefault="006F108A" w:rsidP="008C3B75">
      <w:pPr>
        <w:pStyle w:val="Listapunktowana"/>
      </w:pPr>
      <w:r>
        <w:t>Migracja cennika transportowego (020, tabele „transport_tariff_bands” i „route_cache”) nie została jeszcze uruchomiona na środowisku produkcyjnym – wymagana przed korzystaniem z automatycznego liczenia transportu. Do czasu jej uruchomienia aplikacja działa na cenniku domyślnym. Opcjonalny klucz Geoapify (dokładniejsze trasy dla TIR-a) nie jest jeszcze ustawiony – bez niego odległości liczone są na darmowych serwerach OpenStreetMap.</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