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1.8</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11.09.2026 - 11.09.2026</w:t>
            </w:r>
            <w:proofErr w:type="gramStart"/>
            <w:proofErr w:type="gramEnd"/>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11.09.2026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1.8</w:t>
            </w:r>
          </w:p>
        </w:tc>
        <w:tc>
          <w:tcPr>
            <w:tcW w:w="2481" w:type="dxa"/>
          </w:tcPr>
          <w:p w14:paraId="56A0711A" w14:textId="456B61AD" w:rsidR="00F95910" w:rsidRDefault="000B0BCE">
            <w:r>
              <w:t>11.09.2026</w:t>
            </w:r>
          </w:p>
        </w:tc>
        <w:tc>
          <w:tcPr>
            <w:tcW w:w="1568" w:type="dxa"/>
          </w:tcPr>
          <w:p w14:paraId="641FD02E" w14:textId="77777777" w:rsidR="00F95910" w:rsidRDefault="00505D3B">
            <w:r>
              <w:t>11.09.2026</w:t>
            </w:r>
          </w:p>
        </w:tc>
        <w:tc>
          <w:tcPr>
            <w:tcW w:w="3581" w:type="dxa"/>
          </w:tcPr>
          <w:p w14:paraId="33825778" w14:textId="77777777" w:rsidR="00F95910" w:rsidRDefault="00F95910">
            <w:r>
              <w:t>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w:t>
            </w:r>
            <w:r w:rsidR="003D389F">
              <w:t>, 10.09.2026</w:t>
            </w:r>
          </w:p>
        </w:tc>
        <w:tc>
          <w:tcPr>
            <w:tcW w:w="1568" w:type="dxa"/>
          </w:tcPr>
          <w:p w14:paraId="641FD02E" w14:textId="77777777" w:rsidR="00F95910" w:rsidRDefault="00505D3B">
            <w:r>
              <w:t>10.09.2026</w:t>
            </w:r>
          </w:p>
        </w:tc>
        <w:tc>
          <w:tcPr>
            <w:tcW w:w="3581" w:type="dxa"/>
          </w:tcPr>
          <w:p w14:paraId="33825778"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w:t>
            </w:r>
            <w:proofErr w:type="gramStart"/>
            <w:r>
              <w:t>id.N</w:t>
            </w:r>
            <w:proofErr w:type="gramEnd"/>
            <w:r>
              <w:t xml:space="preserve">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r>
            <w:r>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r>
            <w:r>
              <w:lastRenderedPageBreak/>
              <w:t>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w:t>
            </w:r>
            <w:proofErr w:type="gramStart"/>
            <w:r>
              <w:t>2”...</w:t>
            </w:r>
            <w:proofErr w:type="gramEnd"/>
            <w:r>
              <w:t xml:space="preserve">), a poprzednie wersje zostają widoczne pod rozwijaną listą na tej samej karcie. W tym samym okresie dodano trzy nowe typy stali obok HRS/CR/HDG: PICKLED (HRS Trawiona), TEARDROP (Blacha łezkowa) i ZM (Magnelis) - wraz z własnymi tabelami gatunków, matrycami dopłat wymiarowych i </w:t>
            </w:r>
            <w:r>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r>
            <w:r>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w:t>
            </w:r>
            <w:proofErr w:type="gramStart"/>
            <w:r>
              <w:t>bazowa  -</w:t>
            </w:r>
            <w:proofErr w:type="gramEnd"/>
            <w:r>
              <w:t xml:space="preserve">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1.8</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Dokumentacja repozytorium — README opisywał stan sprzed kilku wersji: brakowało transportu liczonego z trasy, zespołów seniora, metryk handlowców i całej wersji 1.8, a lista migracji bazy urywała się na 018. Opis funkcji został przepisany i pogrupowany w sekcje, listę migracji zastąpiono pętlą po katalogu migrations (nie zdezaktualizuje się przy kolejnej migracji), doszła tabela zmiennych środowiskowych wraz z kluczem do wyznaczania tras oraz opis uruchomienia środowiska lokalnego jednym skryptem. Odświeżono także trzy zrzuty ekranu kalkulatora — poprzednie pochodziły z lipca i pokazywały wersję 1.0 z trzema typami stali zamiast obecnych sześciu. Zaktualizowano również opis repozytorium na GitHubie (sekcja „About”), który nadal mówił o wersji 1.5.</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Numer wersji w nagłówku aplikacji podniesiony do v1.8 we wszystkich czterech językach. Zgodnie z przyjętą zasadą repozytorium wyprzedza produkcję o jedną wersję: na środowisku produkcyjnym działa 1.7, w repozytorium trwają prace nad 1.8.</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Dopłata dodatkowa — pozycja z niezerową dopłatą dodatkową zyskała opcjonalne pole komentarza (widoczne dopiero po wpisaniu wartości różnej od zera, chowane — ale nie kasowane — przy powrocie do zera) oraz osobny checkbox „Dołącz komentarz do PDF” (domyślnie odznaczony). Komentarz zapisuje się razem z resztą konfiguracji pozycji i jest poprawnie odtwarzany przy edycji zestawienia. Po zaznaczeniu checkboxa trafia jako dodatkowy wpis do kolumny „Uwagi” w PDF oferty — spójnie we wszystkich czterech miejscach eksportu (kalkulator, Moje oferty, Panel seniora, Panel administratora).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Gatunek jednorazowy — handlowiec może wycenić gatunek spoza cennika. Po wpisaniu nazwy, której nie ma w tabeli danego typu stali, na górze listy podpowiedzi pojawia się pozycja „Gatunek jednorazowy”, a po jej wybraniu — pole dopłaty [EUR/t] tuż pod polem gatunku. Wartość wchodzi do dopłaty gatunkowej i dalej do ceny końcowej na zwykłych zasadach (działa też przy przełączeniu widoku na PLN). Gatunek żyje wyłącznie w obrębie danej oferty: zapisuje się razem z pozycją, więc cena odtwarza się poprawnie przy edycji zestawienia i ponownym otwarciu oferty, ale nie trafia do cennika i nie pojawia się w podpowiedziach w innych ofertach ani u innych handlowców. W PDF i w Excelu widoczna jest sama nazwa gatunku — oznaczenie „jednorazowy” jest wyłącznie wewnętrzne (kalkulator i zestawienie). Przy okazji poprawiono wcześniejsze zachowanie, w którym wpisanie nieznanego gatunku po cichu ustawiało dopłatę gatunkową na 0, bez żadnego ostrzeżenia dla handlowca.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Odbiór własny w transporcie — w panelu „Trasa i transport” doszedł checkbox „Odbiór własny”: gdy klient sam odbiera towar spod zakładu, transport ustawia się na 0 €/t, a reszta pól trasy (adres, kilometry, ponadgabaryt, tryb ręczny) zostaje wyszarzona i nieaktywna. Wartość 0 przenosi się też na już dodane pozycje zestawienia — tym samym mechanizmem, który dotąd aktualizował transport po przeliczeniu trasy.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Harmonogram kwartalny PGL — w panelu administratora sekcja „Konfiguracja” zyskała jedną tabelę PGL bazowego: wiersz na typ stali (HRS, CR, HDG, PICKLED, TEARDROP, ZM), kolumna bieżącego miesiąca oraz kolumny Q1–Q4 wybranego roku (przełącznik roku obok nagłówka). Administrator może wpisać cenę na przyszły kwartał z wyprzedzeniem — kalkulator zaczyna jej używać sam, z chwilą rozpoczęcia tego kwartału, bez żadnej dodatkowej akcji. Kolumna bieżącego miesiąca pokazuje cenę obowiązującą w danej chwili: gdy pochodzi z zaplanowanego kwartału, jest tylko do odczytu i oznaczona numerem tego kwartału (edycja odbywa się w jego kolumnie), a gdy dla trwającego kwartału nic nie zaplanowano — pozostaje zwykłym polem z dotychczasową wartością ręczną. Aktywny kwartał jest w tabeli wyróżniony. Zaplanowane ceny wpływają wyłącznie na wartość startową NOWEJ kalkulacji oraz na próg wymagający zatwierdzenia oferty; oferty zapisane, oczekujące na akceptację i wysłane zachowują PGL z dnia wyceny. Funkcja wymaga migracji bazy danych (021_create_pgl_quarterly_prices.sql).</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Panel kalkulacji zwijany – cały blok liczenia jednej pozycji (wybór typu blachy, przełącznik ARKUSZ/KRĄG, parametry wejściowe, waga arkusza/ostrzeżenia oraz siatka wynikowa z dopłatami huty, dopłatami SSC i marżą) zyskał nagłówek z możliwością zwinięcia i rozwinięcia, dokładnie tak samo jak panel Danych Klienta powyżej niego. Domyślnie rozwinięty przy wejściu na kalkulator; zestawienie pozycji oferty zostaje osobnym, zawsze widocznym panelem poniżej, niezależnie od stanu panelu kalkulacji – zwinięcie ułatwia szybkie przewijanie do zestawienia przy dłuższych ofertach.</w:t>
            </w:r>
          </w:p>
        </w:tc>
      </w:tr>
      <w:tr w:rsidR="00F95910" w14:paraId="31A7292B" w14:textId="77777777">
        <w:tc>
          <w:tcPr>
            <w:tcW w:w="1948" w:type="dxa"/>
          </w:tcPr>
          <w:p w14:paraId="6B878E97" w14:textId="77777777" w:rsidR="00F95910" w:rsidRDefault="00000000">
            <w:r>
              <w:t>Poprawka</w:t>
            </w:r>
          </w:p>
        </w:tc>
        <w:tc>
          <w:tcPr>
            <w:tcW w:w="6908" w:type="dxa"/>
          </w:tcPr>
          <w:p w14:paraId="4A762646" w14:textId="77777777" w:rsidR="00F95910" w:rsidRDefault="00000000">
            <w:r>
              <w:t>Zapis ustawień nie nadpisuje już ręcznej ceny bazowej PGL ceną kwartalną. Gdy dla danego typu stali obowiązywała cena zaplanowana na bieżący kwartał, formularz ustawień trzymał właśnie tę wartość i przy zapisie karty odsyłał ją do kolumny z ceną ręczną — czyli do wartości, z której kalkulator korzysta po zakończeniu kwartału, gdy kolejny nie ma jeszcze zaplanowanej ceny. Działo się to przy każdym zapisie tej karty, również wtedy, gdy administrator zmieniał wyłącznie kurs waluty. Po poprawce zapis pomija ceny bazowe tych typów, dla których bieżący kwartał ma zaplanowaną cenę — ich pola i tak są w tabeli tylko do odczytu. Błąd wykryty i naprawiony przed wdrożeniem wersji 1.8.</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Zmiana</w:t>
            </w:r>
          </w:p>
        </w:tc>
        <w:tc>
          <w:tcPr>
            <w:tcW w:w="6908" w:type="dxa"/>
          </w:tcPr>
          <w:p w14:paraId="40FB1345" w14:textId="77777777" w:rsidR="00F95910" w:rsidRDefault="00000000">
            <w:r>
              <w:t>(w przygotowaniu)</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Zmiana</w:t>
            </w:r>
          </w:p>
        </w:tc>
        <w:tc>
          <w:tcPr>
            <w:tcW w:w="6908" w:type="dxa"/>
          </w:tcPr>
          <w:p w14:paraId="6C491491" w14:textId="77777777" w:rsidR="00F95910" w:rsidRDefault="00000000">
            <w:r>
              <w:t>(w przygotowaniu)</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Zmiana</w:t>
            </w:r>
          </w:p>
        </w:tc>
        <w:tc>
          <w:tcPr>
            <w:tcW w:w="6893" w:type="dxa"/>
          </w:tcPr>
          <w:p w14:paraId="4327A9A5" w14:textId="77777777" w:rsidR="00F95910" w:rsidRDefault="00000000">
            <w:r>
              <w:t>(w przygotowaniu)</w:t>
            </w:r>
          </w:p>
        </w:tc>
      </w:tr>
    </w:tbl>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ECEEC08" w14:textId="77777777" w:rsidR="008C3B75" w:rsidRDefault="006F108A" w:rsidP="008C3B75">
      <w:pPr>
        <w:pStyle w:val="Listapunktowana"/>
      </w:pPr>
      <w:r>
        <w:t>Funkcje wersji 1.8 (komentarz do dopłaty dodatkowej, gatunek jednorazowy, odbiór własny w transporcie oraz harmonogram kwartalny PGL) są gotowe i przetestowane lokalnie, ale nie zostały jeszcze wdrożone na środowisko produkcyjne; trzy pierwsze nie wymagają migracji bazy danych (dane trafiają do istniejącego pola JSONB „offer_data”), natomiast harmonogram kwartalny PGL wymaga uruchomienia migracji 021_create_pgl_quarterly_prices.sql przed podmianą plików aplikacji.</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Wdrożenie wersji 1.8 (komentarz do dopłaty dodatkowej, gatunek jednorazowy, odbiór własny w transporcie, harmonogram kwartalny PGL) na środowisko produkcyjne — wraz z migracją 021_create_pgl_quarterly_prices.sql</w:t>
      </w:r>
    </w:p>
    <w:p w14:paraId="7EC738BE" w14:textId="77777777" w:rsidR="00A14329" w:rsidRDefault="00250F91">
      <w:pPr>
        <w:pStyle w:val="Listapunktowana"/>
      </w:pPr>
      <w:r>
        <w:t>Testy ręczne end-to-end wszystkich trzech ról i pełnego obiegu oferty na środowisku hostingowym</w:t>
      </w:r>
    </w:p>
    <w:p w14:paraId="3BD8C5EA" w14:textId="77777777" w:rsidR="008C3B75" w:rsidRDefault="008C3B75" w:rsidP="008C3B75">
      <w:pPr>
        <w:pStyle w:val="Listapunktowana"/>
      </w:pPr>
      <w:r>
        <w:t>Dodanie tabelki z terminem płatności</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