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1.6</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19.08.2026 -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19.08.2026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w:t>
            </w:r>
          </w:p>
        </w:tc>
        <w:tc>
          <w:tcPr>
            <w:tcW w:w="1568" w:type="dxa"/>
          </w:tcPr>
          <w:p w14:paraId="4E365F06" w14:textId="4B227151" w:rsidR="00F95910" w:rsidRDefault="00505D3B">
            <w:r>
              <w:t>19.08.2026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1.6</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 xml:space="preserve">Lokalny skrypt startowy środowiska deweloperskiego (steelquote-start.ps1) przeniesiony z prywatnego katalogu użytkownika do repozytorium i wzmocniony: sprawdzanie stanu Postgresa oparto o pg_isready zamiast pg_ctl status, który po nieczystym zamknięciu potrafił mylnie zgłaszać „brak uruchomionego serwera” - w efekcie baza nie startowała, co dawało błąd serwera przy próbie logowania na localhost:3000. Skrypt w jednym uruchomieniu startuje teraz Postgres, tworzy bazę, wgrywa wszystkie migracje, instaluje zależności (jeśli trzeba), seeduje konta testowe, startuje next dev i sam otwiera przeglądarkę - bez żadnych ręcznych kroków. Dodano też towarzyszący skrypt zatrzymujący (steelquote-stop.ps1).</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Uzupełniono tabelę gatunków dla typu stali PICKLED (HRS Trawiona) o dane klienta z zakresu SAPH 440 -&gt; DD12 oraz dodatkowe gatunki (K367-DD14+B, FE 600 DP, S300EK, P265GH, P275SL, P355NL2, SA516G60-LOWSI, S240 D) - tabela była dotąd niekompletna (kończyła się na C15E -&gt; SAPH 440). Wartości zweryfikowane wiersz po wierszu względem danych źródłowych klienta.</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Kliknięcie w pozycję na liście zestawienia (wiersz lub ikona ołówka) automatycznie przewija widok do góry kalkulatora - przy dłuższych listach (więcej niż ok. 3 pozycje) użytkownik nie musiał wcześniej ręcznie przewijać ekranu, żeby zobaczyć wczytane dane do edycji.</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Cena bazowa PGL jest teraz zawsze wprowadzana i wyświetlana w EUR (€/t), niezależnie od wybranej waluty oferty (EUR/PLN) - zgodnie z decyzją handlową, że cena wsadu jest notowaniem międzynarodowym. Wcześniej pole podążało za przełącznikiem waluty, co mogło wprowadzać w błąd przy ofertach w PLN.</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poprawiono czytelność etykiet wersjonowania, zgłoszoną przez testerów jako ledwo widoczną: numer oferty (offer_id / offer_id.N) zamieniono miejscami z nazwą własną oferty - numer jest teraz głównym, pogrubionym nagłówkiem wiersza, a nazwa własna (jeśli nadana) widnieje pod nim jako drugorzędna. Etykieta „poprzednia wersja / poprzednie wersje” przy rozwijanej historii wersji oferty otrzymała większą czcionkę i wyższy kontrast koloru, czytelny we wszystkich motywach (jasny / ciemny / wysoki kontrast).</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Podczas edycji zapisanej oferty w kalkulatorze pojawia się teraz wyraźny baner na górze strony: „Teraz edytujesz ofertę: offer_id” - zgłoszenie od użytkowników, którzy nie zauważali dyskretnej etykiety w nagłówku i myleli tryb edycji z tworzeniem nowej wyceny. Baner pokazuje numer wersji oferty w tym samym formacie co lista ofert (np. „offer_27.1”) - pierwotna wersja pokazywała surowe, wewnętrzne ID wiersza z bazy (np. „offer_30” dla oferty widocznej na liście jako „27.1”), co było mylące; poprawiono, licząc etykietę z root_offer_id i numeru wersji, tak samo jak wszędzie indziej w aplikacji.</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Generowanie oferty PDF respektuje teraz język interfejsu wybrany przez handlowca (PL/EN/CS/DE), zamiast być zawsze po polsku - tłumaczenie obejmuje nagłówki tabeli pozycji, etykiety danych klienta, uwagi prawne w stopce oraz podpisy.</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Przy edycji istniejącej pozycji w kalkulatorze przycisk „Aktualizuj pozycję” zmienia teraz kolor na niebieski, odróżniając się od żółtego przycisku „Dodaj do listy” używanego przy dodawaniu nowej pozycji - zapobiega przypadkowemu pomyleniu trybu edycji z dodawaniem nowej pozycji.</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Tryb wysokiego kontrastu ma teraz osobny wariant jasny i ciemny - przycisk jasny/ciemny motyw działa również przy włączonym wysokim kontraście (wcześniej kliknięcie w niego nic nie zmieniało wizualnie, dopóki nie wyłączono wysokiego kontrastu). Poprawiono też czytelność kilku elementów (m.in. pasek „Suma Huta”, przyciski przełączające, podpowiedzi gatunków, komunikaty ostrzegawcze) w ciemnym wariancie wysokiego kontrastu, gdzie tekst i tło były wcześniej zapisane na sztywno pod jasny motyw.</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panelu administratora, w sekcji „Historia zmian PGL bazowego”, dodano filtrowanie i sortowanie: klikalne filtry po typie stali (HRS/CR/HDG/PICKLED/TEARDROP/ZM), zakres dat „Od” / „Do” oraz sortowanie po dowolnej kolumnie kliknięciem nagłówka (typ, stara/nowa cena, zmiana, kto zmienił, data) z możliwością odwrócenia kierunku. Dodano przycisk „Wyczyść filtry”, widoczny tylko gdy jakiś filtr jest aktywny. Eksport do Excela pobiera teraz dokładnie to, co widać na ekranie - z uwzględnieniem aktywnych filtrów i wybranego sortowania, a nie zawsze całą historię.</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Migracje wersjonowania ofert (015) oraz minimalnej marży (014) nie zostały jeszcze uruchomione na środowisku produkcyjnym - na razie działają tylko lokalnie.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nowego przepływu Klienci -&gt; Kontakty w przeglądarce: rozwinięcie firmy, dodanie, edycja i usunięcie osoby kontaktowej, potwierdzenie że kontakt pojawia się w zakładce „Kontakty”.</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