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1.6</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19.08.2026 -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19.08.2026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w:t>
            </w:r>
          </w:p>
        </w:tc>
        <w:tc>
          <w:tcPr>
            <w:tcW w:w="1568" w:type="dxa"/>
          </w:tcPr>
          <w:p w14:paraId="4E365F06" w14:textId="4B227151" w:rsidR="00F95910" w:rsidRDefault="00505D3B">
            <w:r>
              <w:t>19.08.2026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1.6</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 xml:space="preserve">Lokalny skrypt startowy środowiska deweloperskiego (steelquote-start.ps1) przeniesiony z prywatnego katalogu użytkownika do repozytorium i wzmocniony: sprawdzanie stanu Postgresa oparto o pg_isready zamiast pg_ctl status, który po nieczystym zamknięciu potrafił mylnie zgłaszać „brak uruchomionego serwera” - w efekcie baza nie startowała, co dawało błąd serwera przy próbie logowania na localhost:3000. Skrypt w jednym uruchomieniu startuje teraz Postgres, tworzy bazę, wgrywa wszystkie migracje, instaluje zależności (jeśli trzeba), seeduje konta testowe, startuje next dev i sam otwiera przeglądarkę - bez żadnych ręcznych kroków. Dodano też towarzyszący skrypt zatrzymujący (steelquote-stop.ps1).</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Uzupełniono tabelę gatunków dla typu stali PICKLED (HRS Trawiona) o dane klienta z zakresu SAPH 440 -&gt; DD12 oraz dodatkowe gatunki (K367-DD14+B, FE 600 DP, S300EK, P265GH, P275SL, P355NL2, SA516G60-LOWSI, S240 D) - tabela była dotąd niekompletna (kończyła się na C15E -&gt; SAPH 440). Wartości zweryfikowane wiersz po wierszu względem danych źródłowych klienta.</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Kliknięcie w pozycję na liście zestawienia (wiersz lub ikona ołówka) automatycznie przewija widok do góry kalkulatora - przy dłuższych listach (więcej niż ok. 3 pozycje) użytkownik nie musiał wcześniej ręcznie przewijać ekranu, żeby zobaczyć wczytane dane do edycji.</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Cena bazowa PGL jest teraz zawsze wprowadzana i wyświetlana w EUR (€/t), niezależnie od wybranej waluty oferty (EUR/PLN) - zgodnie z decyzją handlową, że cena wsadu jest notowaniem międzynarodowym. Wcześniej pole podążało za przełącznikiem waluty, co mogło wprowadzać w błąd przy ofertach w PLN.</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Na liście „Moje oferty” poprawiono czytelność etykiet wersjonowania, zgłoszoną przez testerów jako ledwo widoczną: numer oferty (offer_id / offer_id.N) zamieniono miejscami z nazwą własną oferty - numer jest teraz głównym, pogrubionym nagłówkiem wiersza, a nazwa własna (jeśli nadana) widnieje pod nim jako drugorzędna. Etykieta „poprzednia wersja / poprzednie wersje” przy rozwijanej historii wersji oferty otrzymała większą czcionkę i wyższy kontrast koloru, czytelny we wszystkich motywach (jasny / ciemny / wysoki kontrast).</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Podczas edycji zapisanej oferty w kalkulatorze pojawia się teraz wyraźny baner na górze strony: „Teraz edytujesz ofertę: offer_id” - zgłoszenie od użytkowników, którzy nie zauważali dyskretnej etykiety w nagłówku i myleli tryb edycji z tworzeniem nowej wyceny. Baner pokazuje numer wersji oferty w tym samym formacie co lista ofert (np. „offer_27.1”) - pierwotna wersja pokazywała surowe, wewnętrzne ID wiersza z bazy (np. „offer_30” dla oferty widocznej na liście jako „27.1”), co było mylące; poprawiono, licząc etykietę z root_offer_id i numeru wersji, tak samo jak wszędzie indziej w aplikacji.</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w:t>
            </w:r>
          </w:p>
        </w:tc>
        <w:tc>
          <w:tcPr>
            <w:tcW w:w="6908" w:type="dxa"/>
          </w:tcPr>
          <w:p w14:paraId="07A534EB" w14:textId="77777777" w:rsidR="00F95910" w:rsidRDefault="00000000">
            <w:r>
              <w:t>Brak zmian</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Przy edycji istniejącej pozycji w kalkulatorze przycisk „Aktualizuj pozycję” zmienia teraz kolor na niebieski, odróżniając się od żółtego przycisku „Dodaj do listy” używanego przy dodawaniu nowej pozycji - zapobiega przypadkowemu pomyleniu trybu edycji z dodawaniem nowej pozycji.</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Tryb wysokiego kontrastu ma teraz osobny wariant jasny i ciemny - przycisk jasny/ciemny motyw działa również przy włączonym wysokim kontraście (wcześniej kliknięcie w niego nic nie zmieniało wizualnie, dopóki nie wyłączono wysokiego kontrastu). Poprawiono też czytelność kilku elementów (m.in. pasek „Suma Huta”, przyciski przełączające, podpowiedzi gatunków, komunikaty ostrzegawcze) w ciemnym wariancie wysokiego kontrastu, gdzie tekst i tło były wcześniej zapisane na sztywno pod jasny motyw.</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Migracje wersjonowania ofert (015) oraz minimalnej marży (014) nie zostały jeszcze uruchomione na środowisku produkcyjnym - na razie działają tylko lokalnie.</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nowego przepływu Klienci -&gt; Kontakty w przeglądarce: rozwinięcie firmy, dodanie, edycja i usunięcie osoby kontaktowej, potwierdzenie że kontakt pojawia się w zakładce „Kontakty”.</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