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11.09.2026 - 14.09.2026</w:t>
            </w:r>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14.09.2026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11.09.2026, 14.09.2026</w:t>
            </w:r>
          </w:p>
        </w:tc>
        <w:tc>
          <w:tcPr>
            <w:tcW w:w="1568" w:type="dxa"/>
          </w:tcPr>
          <w:p w14:paraId="641FD02E" w14:textId="77777777" w:rsidR="00F95910" w:rsidRDefault="00505D3B">
            <w:r>
              <w:t>14.09.2026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zarządu.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lastRenderedPageBreak/>
              <w:t xml:space="preserve">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w:t>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bazowa  -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Dokumentacja repozytorium — README opisywał stan sprzed kilku wersji: brakowało transportu liczonego z trasy, zespołów seniora, metryk handlowców i całej wersji 1.8, a lista migracji bazy urywała się na 018. Opis funkcji został przepisany i pogrupowany w sekcje, listę migracji zastąpiono pętlą po katalogu migrations (nie zdezaktualizuje się przy kolejnej migracji), doszła tabela zmiennych środowiskowych wraz z kluczem do wyznaczania tras oraz opis uruchomienia środowiska lokalnego jednym skryptem. Odświeżono także trzy zrzuty ekranu kalkulatora — poprzednie pochodziły z lipca i pokazywały wersję 1.0 z trzema typami stali zamiast obecnych sześciu. Zaktualizowano również opis repozytorium na GitHubie (sekcja „About”), który nadal mówił o wersji 1.5.</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Numer wersji w nagłówku aplikacji podniesiony do v1.8 we wszystkich czterech językach. Zgodnie z przyjętą zasadą repozytorium wyprzedza produkcję o jedną wersję: na środowisku produkcyjnym działa 1.7, w repozytorium trwają prace nad 1.8.</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Panel kalkulacji zwijany – cały blok liczenia jednej pozycji (wybór typu blachy, przełącznik ARKUSZ/KRĄG, parametry wejściowe, waga arkusza/ostrzeżenia oraz siatka wynikowa z dopłatami huty, dopłatami SSC i marżą) zyskał nagłówek z możliwością zwinięcia i rozwinięcia, dokładnie tak samo jak panel Danych Klienta powyżej niego. Domyślnie rozwinięty przy wejściu na kalkulator; zestawienie pozycji oferty zostaje osobnym, zawsze widocznym panelem poniżej, niezależnie od stanu panelu kalkulacji – zwinięcie ułatwia szybkie przewijanie do zestawienia przy dłuższych ofertach.</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Okres ważności oferty — obok przełącznika Arkusz/Krąg doszły dwa pola daty, „Ważna od” i „Ważna do”, określające okres, na jaki wyceniana jest oferta. Kwartał wyznaczony z daty „Ważna od” automatycznie dobiera PGL bazowe zaplanowane w harmonogramie kwartalnym (patrz wyżej, harmonogram kwartalny PGL) dla tego kwartału — dokładnie tą samą logiką co dotychczasowe przełączanie na bieżący kwartał, tylko sparametryzowaną wybranym okresem zamiast „teraz”. Gdy zakres „od”–„do” wykracza poza jeden kwartał, PGL nie jest dobierane automatycznie i pojawia się czerwone ostrzeżenie — administrator planuje ceny per kwartał, więc taki zakres byłby niejednoznaczny. Zmiana typu stali po ustawieniu okresu nadal resetuje PGL do wartości dla nowego typu w tym samym kwartale. Obie daty zapisują się razem z resztą oferty (jak dotychczasowy pglBase/transport) i odtwarzają się przy ponownym otwarciu bez ponownego przeliczania — zapisana oferta zachowuje PGL z dnia wyceny, tak samo jak przy zwykłej zmianie typu stali.</w:t>
            </w:r>
          </w:p>
        </w:tc>
      </w:tr>
      <w:tr w:rsidR="00F95910" w14:paraId="31A7292B" w14:textId="77777777">
        <w:tc>
          <w:tcPr>
            <w:tcW w:w="1948" w:type="dxa"/>
          </w:tcPr>
          <w:p w14:paraId="6B878E97" w14:textId="77777777" w:rsidR="00F95910" w:rsidRDefault="00000000">
            <w:r>
              <w:t>Poprawka</w:t>
            </w:r>
          </w:p>
        </w:tc>
        <w:tc>
          <w:tcPr>
            <w:tcW w:w="6908" w:type="dxa"/>
          </w:tcPr>
          <w:p w14:paraId="4A762646" w14:textId="77777777" w:rsidR="00F95910" w:rsidRDefault="00000000">
            <w:r>
              <w:t>Zapis ustawień nie nadpisuje już ręcznej ceny bazowej PGL ceną kwartalną. Gdy dla danego typu stali obowiązywała cena zaplanowana na bieżący kwartał, formularz ustawień trzymał właśnie tę wartość i przy zapisie karty odsyłał ją do kolumny z ceną ręczną — czyli do wartości, z której kalkulator korzysta po zakończeniu kwartału, gdy kolejny nie ma jeszcze zaplanowanej ceny. Działo się to przy każdym zapisie tej karty, również wtedy, gdy administrator zmieniał wyłącznie kurs waluty. Po poprawce zapis pomija ceny bazowe tych typów, dla których bieżący kwartał ma zaplanowaną cenę — ich pola i tak są w tabeli tylko do odczytu. Błąd wykryty i naprawiony przed wdrożeniem wersji 1.8.</w:t>
            </w:r>
          </w:p>
        </w:tc>
      </w:tr>
      <w:tr w:rsidR="00F95910" w14:paraId="31A7292C" w14:textId="77777777">
        <w:tc>
          <w:tcPr>
            <w:tcW w:w="1948" w:type="dxa"/>
          </w:tcPr>
          <w:p w14:paraId="6B878E98" w14:textId="77777777" w:rsidR="00F95910" w:rsidRDefault="00000000">
            <w:r>
              <w:t>Poprawka</w:t>
            </w:r>
          </w:p>
        </w:tc>
        <w:tc>
          <w:tcPr>
            <w:tcW w:w="6908" w:type="dxa"/>
          </w:tcPr>
          <w:p w14:paraId="4A762647" w14:textId="77777777" w:rsidR="00F95910" w:rsidRDefault="00000000">
            <w:r>
              <w:t>Widoczność ostrzeżeń o cenie poniżej progu — komunikaty „PGL poniżej bazy” i „marża poniżej minimum” były drobnym żółtym tekstem z ikoną ⚠, słabo zauważalnym na liście parametrów; handlowcy zgłaszali, że łatwo je przeoczyć, mimo że pozycja z taką wartością wymaga później zatwierdzenia oferty (patrz lib/offerReview.ts). Oba komunikaty przeniesiono do wyraźnie odznaczonego, czerwono obramowanego bloku z pogrubionym tekstem, zamiast dotychczasowej cienkiej żółtej linijki.</w:t>
            </w:r>
          </w:p>
        </w:tc>
      </w:tr>
      <w:tr w:rsidR="00F95910" w14:paraId="31A7292C" w14:textId="77777777">
        <w:tc>
          <w:tcPr>
            <w:tcW w:w="1948" w:type="dxa"/>
          </w:tcPr>
          <w:p w14:paraId="6B878E98" w14:textId="77777777" w:rsidR="00F95910" w:rsidRDefault="00000000">
            <w:r>
              <w:t>Zmiana</w:t>
            </w:r>
          </w:p>
        </w:tc>
        <w:tc>
          <w:tcPr>
            <w:tcW w:w="6908" w:type="dxa"/>
          </w:tcPr>
          <w:p w14:paraId="4A762647" w14:textId="77777777" w:rsidR="00F95910" w:rsidRDefault="00000000">
            <w:r>
              <w:t>Złom w podsumowaniu SSC — dotąd stała kwota 10 €/t (SCRAP_CONSTANT w kodzie), teraz % ceny wsadu (PGL + Σ Huta), domyślnie 2%. Procent jest konfigurowalny przez administratora w Ustawieniach (nowe pole „Złom (%)”, walidacja 0–100, ten sam mechanizm co minimalna marża) i zapisany w bazie (migracja 022_add_scrap_pct.sql). Wiersz „Złom” w podsumowaniu pokazuje teraz aktualny procent i przeliczoną kwotę zamiast dotychczasowego oznaczenia „(stała)”. Tą samą logiką zaktualizowano też dwa niezależne, samodzielne kalkulatory HTML w repozytorium (index.html, steel_calculator_standalone.html).</w:t>
            </w:r>
          </w:p>
        </w:tc>
      </w:tr>
      <w:tr w:rsidR="00F95910" w14:paraId="31A7292B" w14:textId="77777777">
        <w:tc>
          <w:tcPr>
            <w:tcW w:w="1948" w:type="dxa"/>
          </w:tcPr>
          <w:p w14:paraId="43565050" w14:textId="77777777" w:rsidR="00F95910" w:rsidRDefault="00000000">
            <w:r>
              <w:t>Poprawka</w:t>
            </w:r>
          </w:p>
        </w:tc>
        <w:tc>
          <w:tcPr>
            <w:tcW w:w="6908" w:type="dxa"/>
          </w:tcPr>
          <w:p w14:paraId="7BA78195" w14:textId="77777777" w:rsidR="00F95910" w:rsidRDefault="00000000">
            <w:r>
              <w:t>Historia zmian cen bazowych PGL nie rejestrowała zmian wprowadzanych przez harmonogram kwartalny. Gdy dla danego typu stali bieżący kwartał miał zaplanowaną cenę, pole ręczne w tabeli było tylko do odczytu, a jedynym sposobem na zmianę ceny „teraz” była edycja komórki tego kwartału — ten zapis szedł osobnym mechanizmem (PUT /api/settings/pgl-quarterly) i nie trafiał do logu historii, mimo że cena faktycznie się zmieniała. Po poprawce zmiana ceny bieżącego kwartału jest logowana tym samym mechanizmem co ręczna zmiana ceny bazowej, a panel odświeża tabelę historii również po zapisie harmonogramu.</w:t>
            </w:r>
          </w:p>
        </w:tc>
      </w:tr>
      <w:tr w:rsidR="00F95910" w14:paraId="31A7292B" w14:textId="77777777">
        <w:tc>
          <w:tcPr>
            <w:tcW w:w="1948" w:type="dxa"/>
          </w:tcPr>
          <w:p w14:paraId="43565050" w14:textId="77777777" w:rsidR="00F95910" w:rsidRDefault="00000000">
            <w:r>
              <w:t>Zmiana</w:t>
            </w:r>
          </w:p>
        </w:tc>
        <w:tc>
          <w:tcPr>
            <w:tcW w:w="6908" w:type="dxa"/>
          </w:tcPr>
          <w:p w14:paraId="7BA78195" w14:textId="77777777" w:rsidR="00F95910" w:rsidRDefault="00000000">
            <w:r>
              <w:t>Złom zaokrąglony do liczby całkowitej — na polecenie zarządu kwota złomu w podsumowaniu SSC (obliczana jako % ceny wsadu) jest teraz zaokrąglana do pełnej jednostki waluty, zamiast dotychczasowych dwóch miejsc po przecinku. Zaokrąglenie następuje na poziomie obliczeń, więc wpływa też na sumę SSC i cenę końcową pozycji, nie tylko na sam wygląd wiersza „Złom”.</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Termin płatności — obok pól „Ważna od”/„Ważna do” (okres ważności oferty) doszła osobna para pól „Termin płatności od” i „Termin płatności do”, niezależna od okresu ważności. Wybranie daty „od” automatycznie dolicza „do” jako „od” + liczba dni — indywidualny termin przypisany klientowi, jeśli taki ma, albo globalny termin domyślny ustawiony w Ustawieniach (domyślnie 7 dni), ale pole „do” zostaje w pełni edytowalne ręcznie — ponowna zmiana „od” przelicza je od nowa. Panel „Klienci” pozwala przypisać każdej firmie własny termin płatności w dniach (puste pole = dziedziczenie globalnego domyślnego); dostępny jest teraz nie tylko dla administratora (/admin/klienci), ale też dla starszego handlowca w nowej zakładce „Klienci” w Panelu Seniora, gdzie może zmieniać wyłącznie ten jeden parametr klienta — ograniczenie wymuszone po stronie serwera, nie tylko ukryte w interfejsie. Administrator konfiguruje globalny domyślny termin w Ustawieniach (nowe pole „Domyślny termin płatności (dni)”, walidacja 0–365, ten sam mechanizm co minimalna marża czy złom). Funkcja wymaga migracji bazy danych (023_add_payment_term.sql, kolumny app_settings.payment_term_days i clients.payment_term_days).</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Zmiana</w:t>
            </w:r>
          </w:p>
        </w:tc>
        <w:tc>
          <w:tcPr>
            <w:tcW w:w="6908" w:type="dxa"/>
          </w:tcPr>
          <w:p w14:paraId="40FB1345" w14:textId="77777777" w:rsidR="00F95910" w:rsidRDefault="00000000">
            <w:r>
              <w:t>(w przygotowaniu)</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Nowa funkcja</w:t>
            </w:r>
          </w:p>
        </w:tc>
        <w:tc>
          <w:tcPr>
            <w:tcW w:w="6908" w:type="dxa"/>
          </w:tcPr>
          <w:p w14:paraId="6C491491" w14:textId="77777777" w:rsidR="00F95910" w:rsidRDefault="00000000">
            <w:r>
              <w:t>Okres ważności oferty w PDF — gdy w kalkulatorze wypełniono obie daty „Ważna od”/„Ważna do”, w stopce oferty pojawia się dodatkowa linijka z wybranym zakresem dat, obok dotychczasowej stałej formułki „Ważność oferty: 48h od daty wystawienia” (która zostaje bez zmian). Linijka renderuje się we wszystkich czterech językach interfejsu (PL/EN/CS/DE) i znika, gdy okres nie został ustawiony — stare oferty bez tych pól nie tracą nic ze swojego PDF-u.</w:t>
            </w:r>
          </w:p>
        </w:tc>
      </w:tr>
      <w:tr w:rsidR="00F95910" w14:paraId="4AA6E75A" w14:textId="77777777">
        <w:tc>
          <w:tcPr>
            <w:tcW w:w="1948" w:type="dxa"/>
          </w:tcPr>
          <w:p w14:paraId="541CB498" w14:textId="77777777" w:rsidR="00F95910" w:rsidRDefault="00000000">
            <w:r>
              <w:t>Nowa funkcja</w:t>
            </w:r>
          </w:p>
        </w:tc>
        <w:tc>
          <w:tcPr>
            <w:tcW w:w="6908" w:type="dxa"/>
          </w:tcPr>
          <w:p w14:paraId="6C491491" w14:textId="77777777" w:rsidR="00F95910" w:rsidRDefault="00000000">
            <w:r>
              <w:t>Termin płatności w PDF — gdy w kalkulatorze wypełniono obie daty „Termin płatności od”/„do”, w stopce oferty pojawia się linijka „Termin płatności: {od} – {do}.”, która ZASTĘPUJE dotychczasową ogólną formułkę „Warunki płatności: wg ustaleń indywidualnych” (formułka wraca, gdy termin nie został ustawiony). Renderuje się we wszystkich czterech językach interfejsu (PL/EN/CS/DE), niezależnie od istniejącej linijki okresu ważności oferty.</w:t>
            </w:r>
          </w:p>
        </w:tc>
      </w:tr>
      <w:tr w:rsidR="00F95910" w14:paraId="4AA6E75A" w14:textId="77777777">
        <w:tc>
          <w:tcPr>
            <w:tcW w:w="1948" w:type="dxa"/>
          </w:tcPr>
          <w:p w14:paraId="541CB498" w14:textId="77777777" w:rsidR="00F95910" w:rsidRDefault="00000000">
            <w:r>
              <w:t>Poprawka</w:t>
            </w:r>
          </w:p>
        </w:tc>
        <w:tc>
          <w:tcPr>
            <w:tcW w:w="6908" w:type="dxa"/>
          </w:tcPr>
          <w:p w14:paraId="6C491491" w14:textId="77777777" w:rsidR="00F95910" w:rsidRDefault="00000000">
            <w:r>
              <w:t>Podsumowanie oferty (wiersz „RAZEM”) w PDF drukowało się po każdej stronie tabeli pozycji zamiast tylko po ostatniej — silnik konwersji HTML→PDF (Abacus, headless Chrome) powtarza nagłówek i stopkę tabeli na każdej stronie, na którą się ona rozleje, więc przy więcej niż ok. 2 pozycjach „RAZEM” pojawiało się po każdej stronie z osobną, niepełną sumą. Podsumowanie jest teraz osobną tabelą za tabelą pozycji, więc renderuje się dokładnie raz, bezpośrednio po ostatniej pozycji, niezależnie ile stron zajęły pozycje. Dotyczyło ofert w obu walutach (EUR i PLN).</w:t>
            </w:r>
          </w:p>
        </w:tc>
      </w:tr>
      <w:tr w:rsidR="00F95910" w14:paraId="4AA6E75A" w14:textId="77777777">
        <w:tc>
          <w:tcPr>
            <w:tcW w:w="1948" w:type="dxa"/>
          </w:tcPr>
          <w:p w14:paraId="541CB498" w14:textId="77777777" w:rsidR="00F95910" w:rsidRDefault="00000000">
            <w:r>
              <w:t>Poprawka</w:t>
            </w:r>
          </w:p>
        </w:tc>
        <w:tc>
          <w:tcPr>
            <w:tcW w:w="6908" w:type="dxa"/>
          </w:tcPr>
          <w:p w14:paraId="6C491491" w14:textId="77777777" w:rsidR="00F95910" w:rsidRDefault="00000000">
            <w:r>
              <w:t>Tekst w kolumnach „Cena”/„Wartość” rozjeżdżał się przy pięciocyfrowych kwotach (częste w ofertach PLN po przeliczeniu kursem) — tabela miała zmienną szerokość kolumn, więc mogła się ona przeliczać niespójnie. Kolumny mają teraz stałą, wspólną szerokość dla całej tabeli, kolumny „Cena” i „Wartość” zostały poszerzone, a liczby przestały się zawijać do kolejnej linii.</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Nowa funkcja</w:t>
            </w:r>
          </w:p>
        </w:tc>
        <w:tc>
          <w:tcPr>
            <w:tcW w:w="6893" w:type="dxa"/>
          </w:tcPr>
          <w:p w14:paraId="4327A9A5" w14:textId="77777777" w:rsidR="00F95910" w:rsidRDefault="00000000">
            <w:r>
              <w:t>Zmiana kolejności pozycji w zestawieniu — każdy wiersz zestawienia zyskał uchwyt do przeciągania po lewej stronie, którym handlowiec może przenieść pozycję w inne miejsce listy; numeracja „Lp.” przelicza się automatycznie, a przesuwanie pozostałych wierszy jest płynnie animowane. Nowa kolejność to jednocześnie kolejność pozycji w eksportowanym PDF, w Excelu i w zapisanej ofercie. Funkcja działa też dotykiem na telefonie i tablecie, nie tylko myszką na komputerze.</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oraz harmonogram kwartalny PGL) są gotowe i przetestowane lokalnie, ale nie zostały jeszcze wdrożone na środowisko produkcyjne; trzy pierwsze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