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C47C7" w14:textId="77777777" w:rsidR="00BA4AAF" w:rsidRDefault="00250F91">
      <w:r>
        <w:rPr>
          <w:b/>
          <w:color w:val="1F2A44"/>
          <w:sz w:val="56"/>
        </w:rPr>
        <w:t>AMSteel Quote</w:t>
      </w:r>
    </w:p>
    <w:p w14:paraId="645A6885" w14:textId="77777777" w:rsidR="00BA4AAF" w:rsidRDefault="00250F91">
      <w:pPr>
        <w:pBdr>
          <w:bottom w:val="single" w:sz="12" w:space="4" w:color="2B57A6"/>
        </w:pBdr>
        <w:spacing w:after="280"/>
      </w:pPr>
      <w:r>
        <w:rPr>
          <w:color w:val="2B57A6"/>
          <w:sz w:val="30"/>
        </w:rPr>
        <w:t>Raport wersji / Dziennik zmian</w:t>
      </w:r>
    </w:p>
    <w:tbl>
      <w:tblPr>
        <w:tblW w:w="0" w:type="auto"/>
        <w:tblLook w:val="04A0" w:firstRow="1" w:lastRow="0" w:firstColumn="1" w:lastColumn="0" w:noHBand="0" w:noVBand="1"/>
      </w:tblPr>
      <w:tblGrid>
        <w:gridCol w:w="3118"/>
        <w:gridCol w:w="5669"/>
      </w:tblGrid>
      <w:tr w:rsidR="00BA4AAF" w14:paraId="7D5A043B" w14:textId="77777777">
        <w:tc>
          <w:tcPr>
            <w:tcW w:w="3118" w:type="dxa"/>
          </w:tcPr>
          <w:p w14:paraId="7B68B53E" w14:textId="77777777" w:rsidR="00BA4AAF" w:rsidRDefault="00250F91">
            <w:r>
              <w:rPr>
                <w:b/>
                <w:color w:val="1F2A44"/>
              </w:rPr>
              <w:t>Programista:</w:t>
            </w:r>
          </w:p>
        </w:tc>
        <w:tc>
          <w:tcPr>
            <w:tcW w:w="5669" w:type="dxa"/>
          </w:tcPr>
          <w:p w14:paraId="7AFE002F" w14:textId="77777777" w:rsidR="00BA4AAF" w:rsidRDefault="00250F91">
            <w:r>
              <w:rPr>
                <w:color w:val="1F2A44"/>
              </w:rPr>
              <w:t>Mateusz Mazur</w:t>
            </w:r>
          </w:p>
        </w:tc>
      </w:tr>
      <w:tr w:rsidR="00BA4AAF" w14:paraId="7987C2B0" w14:textId="77777777">
        <w:tc>
          <w:tcPr>
            <w:tcW w:w="3118" w:type="dxa"/>
          </w:tcPr>
          <w:p w14:paraId="016140B3" w14:textId="77777777" w:rsidR="00BA4AAF" w:rsidRDefault="00250F91">
            <w:r>
              <w:rPr>
                <w:b/>
                <w:color w:val="1F2A44"/>
              </w:rPr>
              <w:t>Wersja:</w:t>
            </w:r>
          </w:p>
        </w:tc>
        <w:tc>
          <w:tcPr>
            <w:tcW w:w="5669" w:type="dxa"/>
          </w:tcPr>
          <w:p w14:paraId="0AFBD0D9" w14:textId="77777777" w:rsidR="00BA4AAF" w:rsidRDefault="00250F91">
            <w:r>
              <w:rPr>
                <w:color w:val="1F2A44"/>
              </w:rPr>
              <w:t>1.9</w:t>
            </w:r>
          </w:p>
        </w:tc>
      </w:tr>
      <w:tr w:rsidR="00BA4AAF" w14:paraId="3F502BF5" w14:textId="77777777">
        <w:tc>
          <w:tcPr>
            <w:tcW w:w="3118" w:type="dxa"/>
          </w:tcPr>
          <w:p w14:paraId="6844C592" w14:textId="77777777" w:rsidR="00BA4AAF" w:rsidRDefault="00250F91">
            <w:r>
              <w:rPr>
                <w:b/>
                <w:color w:val="1F2A44"/>
              </w:rPr>
              <w:t>Okres developmentu:</w:t>
            </w:r>
          </w:p>
        </w:tc>
        <w:tc>
          <w:tcPr>
            <w:tcW w:w="5669" w:type="dxa"/>
          </w:tcPr>
          <w:p w14:paraId="315C5C5D" w14:textId="77777777" w:rsidR="00BA4AAF" w:rsidRDefault="002F24E4">
            <w:r>
              <w:t>19.09.2026 - __.__.____</w:t>
            </w:r>
          </w:p>
        </w:tc>
      </w:tr>
      <w:tr w:rsidR="00BA4AAF" w14:paraId="460EDD92" w14:textId="77777777">
        <w:tc>
          <w:tcPr>
            <w:tcW w:w="3118" w:type="dxa"/>
          </w:tcPr>
          <w:p w14:paraId="01B33D7C" w14:textId="77777777" w:rsidR="00BA4AAF" w:rsidRDefault="00250F91">
            <w:r>
              <w:rPr>
                <w:b/>
                <w:color w:val="1F2A44"/>
              </w:rPr>
              <w:t>Data raportu:</w:t>
            </w:r>
          </w:p>
        </w:tc>
        <w:tc>
          <w:tcPr>
            <w:tcW w:w="5669" w:type="dxa"/>
          </w:tcPr>
          <w:p w14:paraId="544A6B9A" w14:textId="77777777" w:rsidR="00BA4AAF" w:rsidRDefault="00C302B7">
            <w:r>
              <w:t>__.__.____</w:t>
            </w:r>
          </w:p>
        </w:tc>
      </w:tr>
    </w:tbl>
    <w:p w14:paraId="435706BA" w14:textId="77777777" w:rsidR="00BA4AAF" w:rsidRDefault="00BA4AAF"/>
    <w:p w14:paraId="7CA9DB7E" w14:textId="77777777" w:rsidR="00BA4AAF" w:rsidRDefault="00250F91">
      <w:pPr>
        <w:spacing w:before="280" w:after="120"/>
      </w:pPr>
      <w:r>
        <w:rPr>
          <w:b/>
          <w:color w:val="1F2A44"/>
          <w:sz w:val="28"/>
        </w:rPr>
        <w:t>Historia wersji</w:t>
      </w:r>
    </w:p>
    <w:p w14:paraId="1B566D62" w14:textId="77777777" w:rsidR="00BA4AAF" w:rsidRDefault="00250F91">
      <w:r>
        <w:rPr>
          <w:i/>
          <w:color w:val="666666"/>
          <w:sz w:val="19"/>
        </w:rPr>
        <w:t>Pełny rejestr wszystkich wydanych wersji - najnowsza na górze.</w:t>
      </w:r>
    </w:p>
    <w:tbl>
      <w:tblPr>
        <w:tblStyle w:val="Tabela-Siatka"/>
        <w:tblW w:w="0" w:type="auto"/>
        <w:tblLook w:val="04A0" w:firstRow="1" w:lastRow="0" w:firstColumn="1" w:lastColumn="0" w:noHBand="0" w:noVBand="1"/>
      </w:tblPr>
      <w:tblGrid>
        <w:gridCol w:w="1208"/>
        <w:gridCol w:w="2420"/>
        <w:gridCol w:w="1550"/>
        <w:gridCol w:w="3678"/>
      </w:tblGrid>
      <w:tr w:rsidR="00BA4AAF" w14:paraId="5EBA704F" w14:textId="77777777" w:rsidTr="006F108A">
        <w:tc>
          <w:tcPr>
            <w:tcW w:w="1226" w:type="dxa"/>
            <w:shd w:val="clear" w:color="auto" w:fill="2B57A6"/>
          </w:tcPr>
          <w:p w14:paraId="5DAEFEC6" w14:textId="77777777" w:rsidR="00BA4AAF" w:rsidRDefault="00250F91">
            <w:r>
              <w:rPr>
                <w:b/>
                <w:color w:val="FFFFFF"/>
              </w:rPr>
              <w:t>Wersja</w:t>
            </w:r>
          </w:p>
        </w:tc>
        <w:tc>
          <w:tcPr>
            <w:tcW w:w="2481" w:type="dxa"/>
            <w:shd w:val="clear" w:color="auto" w:fill="2B57A6"/>
          </w:tcPr>
          <w:p w14:paraId="1D70D849" w14:textId="77777777" w:rsidR="00BA4AAF" w:rsidRDefault="00250F91">
            <w:r>
              <w:rPr>
                <w:b/>
                <w:color w:val="FFFFFF"/>
              </w:rPr>
              <w:t>Okres</w:t>
            </w:r>
          </w:p>
        </w:tc>
        <w:tc>
          <w:tcPr>
            <w:tcW w:w="1568" w:type="dxa"/>
            <w:shd w:val="clear" w:color="auto" w:fill="2B57A6"/>
          </w:tcPr>
          <w:p w14:paraId="0D2620A5" w14:textId="77777777" w:rsidR="00BA4AAF" w:rsidRDefault="00250F91">
            <w:r>
              <w:rPr>
                <w:b/>
                <w:color w:val="FFFFFF"/>
              </w:rPr>
              <w:t>Data</w:t>
            </w:r>
          </w:p>
        </w:tc>
        <w:tc>
          <w:tcPr>
            <w:tcW w:w="3581" w:type="dxa"/>
            <w:shd w:val="clear" w:color="auto" w:fill="2B57A6"/>
          </w:tcPr>
          <w:p w14:paraId="0ABF0F4B" w14:textId="77777777" w:rsidR="00BA4AAF" w:rsidRDefault="00250F91">
            <w:r>
              <w:rPr>
                <w:b/>
                <w:color w:val="FFFFFF"/>
              </w:rPr>
              <w:t>Krótkie podsumowanie zmian</w:t>
            </w:r>
          </w:p>
        </w:tc>
      </w:tr>
      <w:tr w:rsidR="00DF56CB" w14:paraId="35000B8F" w14:textId="77777777">
        <w:tc>
          <w:tcPr>
            <w:tcW w:w="1208" w:type="dxa"/>
          </w:tcPr>
          <w:p w14:paraId="31736C27" w14:textId="77777777" w:rsidR="00DF56CB" w:rsidRDefault="00000000">
            <w:r>
              <w:t>1.9</w:t>
            </w:r>
          </w:p>
        </w:tc>
        <w:tc>
          <w:tcPr>
            <w:tcW w:w="2420" w:type="dxa"/>
          </w:tcPr>
          <w:p w14:paraId="3408EBC3" w14:textId="13182198" w:rsidR="00DF56CB" w:rsidRDefault="00000000">
            <w:r>
              <w:t>19.09.2026 - ..</w:t>
            </w:r>
          </w:p>
        </w:tc>
        <w:tc>
          <w:tcPr>
            <w:tcW w:w="1550" w:type="dxa"/>
          </w:tcPr>
          <w:p w14:paraId="55495847" w14:textId="58D40E26" w:rsidR="00DF56CB" w:rsidRDefault="00B36AEF">
            <w:r>
              <w:t>19.09.2026</w:t>
            </w:r>
          </w:p>
        </w:tc>
        <w:tc>
          <w:tcPr>
            <w:tcW w:w="3678" w:type="dxa"/>
          </w:tcPr>
          <w:p w14:paraId="79CC7DB9" w14:textId="77777777" w:rsidR="00DF56CB" w:rsidRDefault="00DF56CB">
            <w:r>
              <w:t>Naprawiono podatność XSS w komunikatach ostrzegawczych kalkulatora o grubości/szerokości poza zakresem tabeli - wartości wstawiane do tych komunikatów (wcześniej bez oczyszczenia, przez dangerouslySetInnerHTML) są teraz oczyszczane (funkcja formatWarning w lib/translations.ts). Na liście „Moje oferty” dodano linię z firmą klienta i numerem SAP bezpośrednio pod numerem oferty, nad nazwą własną oferty, z placeholderem dla ofert bez jeszcze uzupełnionych danych klienta; zmiana obejmuje wszystkie 4 języki interfejsu. Wyszukiwarka i sortowanie na liście ofert rozszerzone o firmę klienta i numer SAP ID (dodatkowo w panelach Starszego handlowca i Administratora pojawiło się sortowanie, którego wcześniej tam w ogóle nie było). Plakietka statusu na liście „Moje oferty” skrócona - powód odrzucenia/przegranej pokazuje się teraz zwięźle obok numeru oferty zamiast w osobnym dużym czerwonym bloku pod nazwą firmy. W Zestawieniu dodano widoczną plakietkę z kosztem transportu pozycji z listy i naprawiono zaniżanie stawki transportu €/t na już dodanych pozycjach, powodowane przez niedodany jeszcze szkic kolejnej pozycji w formularzu kalkulatora.</w:t>
            </w:r>
          </w:p>
        </w:tc>
      </w:tr>
      <w:tr w:rsidR="00F95910" w14:paraId="5F8AE47C" w14:textId="77777777">
        <w:tc>
          <w:tcPr>
            <w:tcW w:w="1226" w:type="dxa"/>
          </w:tcPr>
          <w:p w14:paraId="5DC82F69" w14:textId="77777777" w:rsidR="00F95910" w:rsidRDefault="00000000">
            <w:r>
              <w:t>1.8</w:t>
            </w:r>
          </w:p>
        </w:tc>
        <w:tc>
          <w:tcPr>
            <w:tcW w:w="2481" w:type="dxa"/>
          </w:tcPr>
          <w:p w14:paraId="63CFAD67" w14:textId="77777777" w:rsidR="00F95910" w:rsidRDefault="000B0BCE">
            <w:r>
              <w:t>11.09.2026, 14.09.2026, 15.09.2026, 16.09.2026, 19.09.2026</w:t>
            </w:r>
          </w:p>
        </w:tc>
        <w:tc>
          <w:tcPr>
            <w:tcW w:w="1568" w:type="dxa"/>
          </w:tcPr>
          <w:p w14:paraId="313C3597" w14:textId="77777777" w:rsidR="00F95910" w:rsidRDefault="00505D3B">
            <w:r>
              <w:t>19.09.2026</w:t>
            </w:r>
          </w:p>
        </w:tc>
        <w:tc>
          <w:tcPr>
            <w:tcW w:w="3581" w:type="dxa"/>
          </w:tcPr>
          <w:p w14:paraId="6DE0AE48" w14:textId="77777777" w:rsidR="00F95910" w:rsidRDefault="00F95910">
            <w:r>
              <w:t xml:space="preserve">Dodano opcjonalny komentarz do pozycji z niezerową dopłatą dodatkową w kalkulatorze. Pole komentarza oraz osobny checkbox „Dołącz komentarz do PDF” pojawiają się dopiero po wpisaniu wartości różnej od zera, a treść zapisuje się razem z resztą konfiguracji pozycji (odtwarzana przy edycji, nieusuwana przy chwilowym wyzerowaniu dopłaty). Po zaznaczeniu checkboxa komentarz trafia jako dodatkowy wpis do kolumny „Uwagi” w PDF oferty, we wszystkich miejscach eksportu (kalkulator, Moje oferty, Panel seniora, Panel administratora). Dodano również gatunek jednorazowy - możliwość wyceny gatunku spoza cennika (nazwa + dopłata EUR/t) w obrębie jednej oferty, bez dopisywania go do cennika i bez wpływu na pozostałe oferty. Dodano też opcję odbioru własnego w transporcie - checkbox w panelu „Trasa i transport” ustawia transport </w:t>
              <w:lastRenderedPageBreak/>
              <w:t xml:space="preserve">na 0 €/t, gdy klient sam odbiera towar spod zakładu. Dodano też harmonogram kwartalny PGL bazowego: administrator planuje ceny na Q1–Q4 wybranego roku osobno dla każdego typu stali, a kalkulator przełącza się na cenę danego kwartału automatycznie z chwilą jego rozpoczęcia. Tabela w panelu administratora pokazuje obok siebie cenę bieżącego miesiąca i wszystkie cztery kwartały. Funkcja wymaga migracji bazy danych (021_create_pgl_quarterly_prices.sql). Poprawiono też zapis ustawień, który przy aktywnej cenie kwartalnej nadpisywał nią ręczną cenę bazową PGL, oraz zaktualizowano dokumentację repozytorium (README, opis „About” na GitHubie, zrzuty ekranu kalkulatora) i numer wersji w nagłówku aplikacji do v1.8. Cały panel kalkulacji zyskał też zwijanie/rozwijanie jednym kliknięciem, analogicznie do panelu Danych Klienta. Ostrzeżenia o PGL poniżej bazy i marży poniżej minimum stały się też wyraźnie widoczne - zamiast drobnego żółtego tekstu pokazują się teraz jako czerwono obramowany, pogrubiony komunikat. Złom w podsumowaniu SSC przestał być stałą kwotą 10 €/t - jest teraz % ceny wsadu (domyślnie 2%), konfigurowalny przez administratora w Ustawieniach. Poprawiono też historię zmian cen bazowych PGL, która nie rejestrowała zmian wprowadzanych przez harmonogram kwartalny (edycję ceny bieżącego kwartału) - teraz trafiają do tego samego logu co ręczne zmiany. Dodano też okres ważności oferty: pola „Ważna od”/„Ważna do” obok przełącznika Arkusz/Krąg. Kwartał wyznaczony z daty „Ważna od” automatycznie dobiera PGL bazowe zaplanowane w harmonogramie </w:t>
              <w:lastRenderedPageBreak/>
              <w:t xml:space="preserve">kwartalnym dla tego okresu, tą samą logiką co dotychczasowe przełączanie na bieżący kwartał - tylko sparametryzowaną wybranym okresem zamiast „teraz”. Gdy zakres „od”–„do” wykracza poza jeden kwartał, PGL nie jest dobierane automatycznie i pojawia się czerwone ostrzeżenie. Wybrany zakres dat trafia też dodatkowo do stopki PDF oferty, obok dotychczasowej formułki o 48-godzinnej ważności oferty. Kwota złomu w podsumowaniu SSC jest teraz zaokrąglana do liczby całkowitej, na polecenie zarządu. Dodano też termin płatności: osobna para pól „od”/„do” obok okresu ważności oferty, gdzie „do” domyślnie dolicza się jako „od” + termin klienta (konfigurowalny w panelu Klienci, dostępnym też dla starszego handlowca) albo globalny domyślny z Ustawień (domyślnie 7 dni), z możliwością ręcznej zmiany; ustawiony termin trafia też do stopki PDF, zastępując ogólną formułkę o warunkach płatności. Poprawiono też PDF oferty: podsumowanie sumy przestało powtarzać się po każdej stronie tabeli pozycji (pokazuje się teraz raz, po ostatniej pozycji), a tekst w kolumnach „Cena”/„Wartość” przestał się rozjeżdżać przy pięciocyfrowych kwotach. W zestawieniu pozycji doszła możliwość zmiany kolejności wierszy przeciąganiem za uchwyt, z automatycznym przeliczeniem numeracji „Lp.” i płynną animacją przesuwania pozostałych pozycji - nowa kolejność obowiązuje też w PDF, Excelu i zapisanej ofercie; funkcja działa również dotykiem na telefonie i tablecie, nie tylko myszką. Podsumowanie zestawienia pozycji pokazuje teraz również łączną liczbę ton, wyrównaną w wierszu podsumowującym dokładnie pod kolumnami „Tony” i „Wartość” tabeli. </w:t>
              <w:lastRenderedPageBreak/>
              <w:t>Dodano też migrację przeterminowanego PGL: otwarcie do edycji zapisanej oferty (albo świeżo zduplikowanej kopii) wycenionej w innym kwartale niż bieżący automatycznie aktualizuje PGL bazowe, PGL/marżę/cenę każdej pozycji zestawienia oraz okres ważności do dzisiejszej daty, z wyraźnym banerem informującym o zmianie i liczbie przeliczonych pozycji; nic nie zapisuje się do bazy bez ręcznego zapisania oferty.</w:t>
            </w:r>
          </w:p>
        </w:tc>
      </w:tr>
      <w:tr w:rsidR="00F95910" w14:paraId="2E6B4C22" w14:textId="77777777">
        <w:tc>
          <w:tcPr>
            <w:tcW w:w="1226" w:type="dxa"/>
          </w:tcPr>
          <w:p w14:paraId="6E6C4B46" w14:textId="77777777" w:rsidR="00F95910" w:rsidRDefault="00000000">
            <w:r>
              <w:lastRenderedPageBreak/>
              <w:t>1.7</w:t>
            </w:r>
          </w:p>
        </w:tc>
        <w:tc>
          <w:tcPr>
            <w:tcW w:w="2481" w:type="dxa"/>
          </w:tcPr>
          <w:p w14:paraId="4B90C1A7" w14:textId="77777777" w:rsidR="00F95910" w:rsidRDefault="000B0BCE">
            <w:r>
              <w:t>01.09.2026, 10.09.2026</w:t>
            </w:r>
          </w:p>
        </w:tc>
        <w:tc>
          <w:tcPr>
            <w:tcW w:w="1568" w:type="dxa"/>
          </w:tcPr>
          <w:p w14:paraId="0B61FC03" w14:textId="77777777" w:rsidR="00F95910" w:rsidRDefault="00505D3B">
            <w:r>
              <w:t>10.09.2026</w:t>
            </w:r>
          </w:p>
        </w:tc>
        <w:tc>
          <w:tcPr>
            <w:tcW w:w="3581" w:type="dxa"/>
          </w:tcPr>
          <w:p w14:paraId="490DB87C" w14:textId="77777777" w:rsidR="00F95910" w:rsidRDefault="00F95910">
            <w:r>
              <w:t xml:space="preserve">Naprawiono błąd zapisu decyzji klienta (wygrana / przegrana) na ofercie wysłanej - konflikt typów parametru w zapytaniu SQL (kod 42P08); wcześniej funkcja nie zapisywała żadnej decyzji. Zablokowano wysyłkę oferty do klienta bez danych firmy klienta (nazwa firmy i NIP) - tworzenie i zapis oferty bez tych danych nadal działają. Senior może zbudować zespół z juniorów (sekcja „Mój zespół” w panelu seniora i administratora), a panel „Analiza” pokazuje mu wtedy dane własne oraz całego zespołu, z możliwością zawężenia do siebie lub wybranego juniora. Eksport ofert, panelu „Analiza” i historii PGL do Excela otwiera się teraz z kolumnami dopasowanymi do zawartości, bez ręcznego rozciągania. Dodano automatyczne liczenie transportu z trasy dostawy: rzeczywista odległość drogowa do klienta, cennik przewoźnika w pasmach kilometrowych, przeliczanie na kursy według ładowności 21 t i dopłaty za elementy ponadwymiarowe, wraz z edytowalnym cennikiem w panelu administratora. Wysoki kontrast (jasny i ciemny) przeszedł na nowoczesną paletę kolorów wspólną ze zwykłym motywem – zamiast czerni-na-bieli tryb ten daje teraz większą czcionkę, powiększony widok i grubsze </w:t>
              <w:lastRenderedPageBreak/>
              <w:t>obramowania przy firmowych kolorach. Naprawiono też fałszywe ostrzeżenie o niezapisanych zmianach po rozpoczęciu nowej oferty w trakcie edycji zapisanej – pojawiało się mimo pustego, niezmienionego formularza. Blacha łezkowa otrzymała dopłatę wymiarową zależną od szerokości (30 €/t do 1,5 m, 45 €/t powyżej) oraz własną tabelę gatunków z domyślnym S235JR+N. Wersja 1.7 została wdrożona na środowisko produkcyjne 10.09.2026 wraz z migracjami 019 (zespoły seniora, tabela „team_members”) i 020 (cennik transportowy, tabele „transport_tariff_bands” i „route_cache”); wdrożenie zakończone powodzeniem.</w:t>
            </w:r>
          </w:p>
        </w:tc>
      </w:tr>
      <w:tr w:rsidR="00F95910" w14:paraId="3C01545A" w14:textId="77777777">
        <w:tc>
          <w:tcPr>
            <w:tcW w:w="1226" w:type="dxa"/>
          </w:tcPr>
          <w:p w14:paraId="65547B15" w14:textId="77777777" w:rsidR="00F95910" w:rsidRDefault="00000000">
            <w:r>
              <w:lastRenderedPageBreak/>
              <w:t>1.6</w:t>
            </w:r>
          </w:p>
        </w:tc>
        <w:tc>
          <w:tcPr>
            <w:tcW w:w="2481" w:type="dxa"/>
          </w:tcPr>
          <w:p w14:paraId="7502C073" w14:textId="77777777" w:rsidR="00F95910" w:rsidRDefault="000B0BCE">
            <w:r>
              <w:t>19.08.2026 - 01.09.2026</w:t>
            </w:r>
          </w:p>
        </w:tc>
        <w:tc>
          <w:tcPr>
            <w:tcW w:w="1568" w:type="dxa"/>
          </w:tcPr>
          <w:p w14:paraId="059DE43B" w14:textId="77777777" w:rsidR="00F95910" w:rsidRDefault="00505D3B">
            <w:r>
              <w:t>01.09.2026</w:t>
            </w:r>
          </w:p>
        </w:tc>
        <w:tc>
          <w:tcPr>
            <w:tcW w:w="3581" w:type="dxa"/>
          </w:tcPr>
          <w:p w14:paraId="15496701" w14:textId="77777777" w:rsidR="00F95910" w:rsidRDefault="00F95910">
            <w:r>
              <w:t xml:space="preserve">Uzupełniono tabelę gatunków PICKLED (HRS Trawiona) o brakujący zakres SAPH 440 -&gt; DD12 wraz z dodatkowymi gatunkami (K367-DD14+B, FE 600 DP, S300EK, P265GH, P275SL, P355NL2, SA516G60-LOWSI, S240 D), na podstawie danych przekazanych przez klienta. Poprawiono czytelność etykiet wersjonowania na liście ofert (numer oferty offer_id/offer_id.N zamieniony miejscami z nazwą oferty jako główny nagłówek wiersza, wyraźniejsza etykieta „poprzednia wersja”). Przycisk „Aktualizuj pozycję” w kalkulatorze zmienia teraz kolor na niebieski podczas edycji istniejącej pozycji, aby odróżnić go od żółtego przycisku dodawania nowej pozycji. Kliknięcie pozycji na liście zestawienia (wiersz lub ołówek) przewija teraz widok automatycznie do góry kalkulatora. Cena bazowa PGL jest od teraz zawsze w EUR (€/t), niezależnie od waluty oferty. Podczas edycji zapisanej oferty w kalkulatorze pojawia się teraz wyraźny baner „Teraz edytujesz ofertę: offer_id”, tak by nie pomylić jej z tworzeniem nowej </w:t>
              <w:lastRenderedPageBreak/>
              <w:t xml:space="preserve">wyceny; baner pokazuje właściwy numer wersji (np. offer_27.1), nie surowe wewnętrzne ID wiersza w bazie. Tryb wysokiego kontrastu doczekał się osobnych wariantów jasnego i ciemnego (wcześniej był to jeden, stały motyw ignorujący przełącznik jasny/ciemny) - przełączanie między jasnym a ciemnym motywem działa teraz poprawnie również przy włączonym wysokim kontraście, a wyłączenie wysokiego kontrastu przywraca wcześniej wybrany motyw jasny lub ciemny. Poprawiono też kilka miejsc w interfejsie (pasek „Suma Huta”, przyciski przełączające, podpowiedzi gatunków, komunikaty ostrzegawcze), w których kolory tła i tekstu były zapisane na sztywno pod jasny wysoki kontrast i stawały się nieczytelne w wariancie ciemnym. Panel administratora zyskał filtrowanie i sortowanie historii zmian cen bazowych PGL (po typie stali, zakresie dat i dowolnej kolumnie tabeli) wraz z przyciskiem czyszczącym filtry; eksport do Excela odzwierciedla teraz aktualnie wybrany widok, a nie zawsze całą historię. Generowanie oferty PDF respektuje teraz język interfejsu wybrany przez handlowca (PL/EN/CS/DE) - wcześniej cały szablon PDF (nagłówki tabeli, etykiety danych klienta, uwagi prawne w stopce, podpisy) był na sztywno po polsku, niezależnie od języka ustawionego w aplikacji. Na liście „Moje oferty” naprawiono kliknięcie w rozwiniętej historii wersji ofert, które błędnie otwierało do edycji zawsze najnowszą wersję zamiast tej faktycznie klikniętej. W tej samej wersji dodano panel „Analiza” dla wszystkich ról (tonaż zaoferowany, wygrany i przegrany, wskaźnik skuteczności, rozbicie w czasie oraz według typu stali i klienta, tabela ofert z </w:t>
              <w:lastRenderedPageBreak/>
              <w:t>eksportem; zakres danych ustalany po stronie serwera - junior i senior widzą własne oferty, administrator całą firmę) wraz z nową osią „decyzja klienta” na ofercie wysłanej („wygrana” / „przegrana” / „oczekująca”, migracja 018), niezależną od statusu obiegu oferty.</w:t>
            </w:r>
          </w:p>
        </w:tc>
      </w:tr>
      <w:tr w:rsidR="00F95910" w14:paraId="44E8ADD5" w14:textId="77777777">
        <w:tc>
          <w:tcPr>
            <w:tcW w:w="1226" w:type="dxa"/>
          </w:tcPr>
          <w:p w14:paraId="1A0DC302" w14:textId="77777777" w:rsidR="00F95910" w:rsidRDefault="00000000">
            <w:r>
              <w:lastRenderedPageBreak/>
              <w:t>1.5</w:t>
            </w:r>
          </w:p>
        </w:tc>
        <w:tc>
          <w:tcPr>
            <w:tcW w:w="2481" w:type="dxa"/>
          </w:tcPr>
          <w:p w14:paraId="1CFEF40D" w14:textId="77777777" w:rsidR="00F95910" w:rsidRDefault="000B0BCE">
            <w:r>
              <w:t>10.08.2026 - 13.08.2026, 17.08.2026</w:t>
            </w:r>
          </w:p>
        </w:tc>
        <w:tc>
          <w:tcPr>
            <w:tcW w:w="1568" w:type="dxa"/>
          </w:tcPr>
          <w:p w14:paraId="7BE565C5" w14:textId="77777777" w:rsidR="00F95910" w:rsidRDefault="00505D3B">
            <w:r>
              <w:t>18.08.2026</w:t>
            </w:r>
          </w:p>
        </w:tc>
        <w:tc>
          <w:tcPr>
            <w:tcW w:w="3581" w:type="dxa"/>
          </w:tcPr>
          <w:p w14:paraId="2A7E289C" w14:textId="77777777" w:rsidR="00F95910" w:rsidRDefault="00000000">
            <w:r>
              <w:t xml:space="preserve">Naprawiono brak synchronizacji kontaktu głównego wpisywanego w panelu „Klienci” z tabelą osób kontaktowych - dane osoby zapisane przy edycji firmy nie pojawiały się w zakładce „Kontakty”. Panel „Klienci” zyskał akcję „Kontakty” przy każdej firmie: rozwija listę zapisanych dla niej osób z możliwością edycji i usunięcia każdej z osobna oraz formularzem dodania kolejnej, bez przechodzenia do osobnej zakładki. Dodano migrację uzupełniającą kontakty zapisane, zanim ta poprawka weszła w życie. Dodano tryb „Wysoki kontrast” (przycisk obok Jasny/Ciemny, dostępny na wszystkich podstronach). W tym samym okresie dodano historię zmian cen bazowych PGL z eksportem do Excela, kolorowe oznaczenia typów stali HRS/CR/HDG w panelu ustawień oraz klikalne kafelki statusów na pulpicie administratora, a w kalkulatorze kliknięcie wiersza pozycji otwiera ją do edycji. Kolumna „Uwagi” w PDF oferty pokazuje teraz pełny zestaw wybranych dopłat dla każdej pozycji. Panel ustawień administratora zyskał próg „Minimalna marża (%)” - junior może odtąd wysłać ofertę do klienta bezpośrednio z szkicu, bez zatwierdzenia seniora/administratora, jeśli każda pozycja ma marżę i PGL bazowe w normie; w przeciwnym razie oferta nadal wymaga pełnej ścieżki zatwierdzenia. Kliknięcie w ofertę na liście (Moje oferty, Panel seniora, Panel administratora) otwiera ją teraz do edycji, tak jak pozycje w kalkulatorze. Edycja już zapisanej </w:t>
              <w:lastRenderedPageBreak/>
              <w:t>oferty nie nadpisuje jej w miejscu - zapisuje nową wersję („offer_30.1”, „offer_30.2”...), a poprzednie wersje zostają widoczne pod rozwijaną listą na tej samej karcie. W tym samym okresie dodano trzy nowe typy stali obok HRS/CR/HDG: PICKLED (HRS Trawiona), TEARDROP (Blacha łezkowa) i ZM (Magnelis) - wraz z własnymi tabelami gatunków, matrycami dopłat wymiarowych i (dla ZM) matrycą powłoki, w oparciu o dane przekazane przez klienta.</w:t>
            </w:r>
          </w:p>
        </w:tc>
      </w:tr>
      <w:tr w:rsidR="007958E8" w14:paraId="017A1A2F" w14:textId="77777777">
        <w:tc>
          <w:tcPr>
            <w:tcW w:w="1226" w:type="dxa"/>
          </w:tcPr>
          <w:p w14:paraId="2D6190F5" w14:textId="77777777" w:rsidR="007958E8" w:rsidRDefault="00000000">
            <w:r>
              <w:lastRenderedPageBreak/>
              <w:t>1.4</w:t>
            </w:r>
          </w:p>
        </w:tc>
        <w:tc>
          <w:tcPr>
            <w:tcW w:w="2481" w:type="dxa"/>
          </w:tcPr>
          <w:p w14:paraId="1302D2E9" w14:textId="77777777" w:rsidR="007958E8" w:rsidRDefault="008120C4">
            <w:r>
              <w:t>31.07.2026 - 4.08.2026, 10.08.2026</w:t>
            </w:r>
          </w:p>
        </w:tc>
        <w:tc>
          <w:tcPr>
            <w:tcW w:w="1568" w:type="dxa"/>
          </w:tcPr>
          <w:p w14:paraId="6E61E831" w14:textId="77777777" w:rsidR="007958E8" w:rsidRDefault="00FC2BFC">
            <w:r>
              <w:t>10.08.2026</w:t>
            </w:r>
          </w:p>
        </w:tc>
        <w:tc>
          <w:tcPr>
            <w:tcW w:w="3581" w:type="dxa"/>
          </w:tcPr>
          <w:p w14:paraId="3D159ECE" w14:textId="77777777" w:rsidR="007958E8" w:rsidRDefault="007958E8">
            <w:r>
              <w:t>Poprawki bezpieczeństwa eksportu PDF: dane oferty i klienta wpisywane przez handlowca są zabezpieczane przed wykonaniem jako kod po stronie usługi generującej dokument, a samo generowanie PDF wymaga jawnie potwierdzonej roli użytkownika. W kalkulatorze dodano ostrzeżenie przy edycji pozycji dodanych przed wersją 1.3, dla których konfiguracja dopłat nie została zapisana i nie da się jej automatycznie odtworzyć. Przebudowano panel danych klienta w kalkulatorze: dane firmy (firma, NIP, adres, SAP ID) zostały oddzielone od danych kontaktowych, a pola „Firma” i „NIP” działają jak wyszukiwarki po katalogu klientów. Osoby kontaktowe są od teraz wspólne dla całego działu - jedna firma może mieć ich wiele, a pole imienia podpowiada je od razu po kliknięciu. Naprawiono także brak natychmiastowej widoczności zmian ustawień administratora (PGL bazowe, kurs EUR/PLN) w kalkulatorze bez przeładowania strony, a PGL bazowe skonfigurowano osobno dla typów stali HRS, CR i HDG. Cena końcowa oraz sumy wartości w kalkulatorze, na liście ofert i w PDF są od teraz zaokrąglane w górę do pełnej jednostki waluty - świadoma decyzja biznesowa, żeby nigdy nie zaniżyć ceny wobec klienta.</w:t>
            </w:r>
          </w:p>
        </w:tc>
      </w:tr>
      <w:tr w:rsidR="006F108A" w14:paraId="20A5020D" w14:textId="77777777">
        <w:tc>
          <w:tcPr>
            <w:tcW w:w="1226" w:type="dxa"/>
          </w:tcPr>
          <w:p w14:paraId="444B2C47" w14:textId="77777777" w:rsidR="006F108A" w:rsidRDefault="006F108A">
            <w:pPr>
              <w:rPr>
                <w:b/>
              </w:rPr>
            </w:pPr>
            <w:r>
              <w:rPr>
                <w:b/>
              </w:rPr>
              <w:lastRenderedPageBreak/>
              <w:t>1.3</w:t>
            </w:r>
          </w:p>
        </w:tc>
        <w:tc>
          <w:tcPr>
            <w:tcW w:w="2481" w:type="dxa"/>
          </w:tcPr>
          <w:p w14:paraId="12EE8A45" w14:textId="77777777" w:rsidR="006F108A" w:rsidRDefault="006F108A">
            <w:r>
              <w:t>16.07.2026 - 31.07.2026</w:t>
            </w:r>
          </w:p>
        </w:tc>
        <w:tc>
          <w:tcPr>
            <w:tcW w:w="1568" w:type="dxa"/>
          </w:tcPr>
          <w:p w14:paraId="643B3C46" w14:textId="77777777" w:rsidR="006F108A" w:rsidRDefault="008120C4">
            <w:r>
              <w:t>31.07.2026</w:t>
            </w:r>
          </w:p>
        </w:tc>
        <w:tc>
          <w:tcPr>
            <w:tcW w:w="3581" w:type="dxa"/>
          </w:tcPr>
          <w:p w14:paraId="4F844702" w14:textId="77777777" w:rsidR="006F108A" w:rsidRDefault="006F108A">
            <w:r>
              <w:t>Panel administratora zyskał obsługę zatwierdzania, odrzucania i edycji ofert; wysyłka do klienta rozszerzona na starszego handlowca i administratora wraz z zakładkami szybkiego filtrowania; dodane języki czeski i niemiecki oraz sortowanie listy ofert. Dodano panel ustawień administratora (kurs EUR/PLN, PGL bazowe, transport bazowy) oraz przełącznik waluty EURO/PLN w kalkulatorze; oferta zapamiętuje walutę handlowca i kurs z dnia wyceny. Dodano trwałe, unikalne numery ofert wraz z automatyczną nazwą zastępczą „offer_&lt;numer&gt;” dla ofert bez tytułu oraz wyszukiwarkę ofert (po nazwie, nazwie zastępczej i numerze); uprawnienia administratora zrównane ze starszym handlowcem na własnych ofertach.</w:t>
            </w:r>
          </w:p>
        </w:tc>
      </w:tr>
      <w:tr w:rsidR="00404AB3" w14:paraId="5F2BFD8D" w14:textId="77777777">
        <w:tc>
          <w:tcPr>
            <w:tcW w:w="1226" w:type="dxa"/>
          </w:tcPr>
          <w:p w14:paraId="754C7CE5" w14:textId="77777777" w:rsidR="00404AB3" w:rsidRDefault="00250F91">
            <w:r>
              <w:rPr>
                <w:b/>
              </w:rPr>
              <w:t>1.2</w:t>
            </w:r>
          </w:p>
        </w:tc>
        <w:tc>
          <w:tcPr>
            <w:tcW w:w="2481" w:type="dxa"/>
          </w:tcPr>
          <w:p w14:paraId="126044AC" w14:textId="77777777" w:rsidR="00404AB3" w:rsidRDefault="00250F91">
            <w:r>
              <w:t>13.07.2026 - 16.07.2026</w:t>
            </w:r>
          </w:p>
        </w:tc>
        <w:tc>
          <w:tcPr>
            <w:tcW w:w="1568" w:type="dxa"/>
          </w:tcPr>
          <w:p w14:paraId="1237281E" w14:textId="77777777" w:rsidR="00404AB3" w:rsidRDefault="00250F91">
            <w:r>
              <w:t>16.07.2026</w:t>
            </w:r>
          </w:p>
        </w:tc>
        <w:tc>
          <w:tcPr>
            <w:tcW w:w="3581" w:type="dxa"/>
          </w:tcPr>
          <w:p w14:paraId="690AD220" w14:textId="77777777" w:rsidR="00404AB3" w:rsidRDefault="00250F91">
            <w:r>
              <w:t>Poprawki regresji po integracji podczas Deployu (m.in. krytyczny błąd edycji pozycji, przywrócona waga arkusza), ujednolicenie generowania PDF na wersję serwerową, zamknięcie rejestracji kont dla administratora oraz eksport ofert do Excela w formacie KTS/GPAO.</w:t>
            </w:r>
          </w:p>
        </w:tc>
      </w:tr>
      <w:tr w:rsidR="009F095F" w14:paraId="61DF2C95" w14:textId="77777777" w:rsidTr="006F108A">
        <w:tc>
          <w:tcPr>
            <w:tcW w:w="1226" w:type="dxa"/>
          </w:tcPr>
          <w:p w14:paraId="35AAE197" w14:textId="77777777" w:rsidR="009F095F" w:rsidRDefault="00250F91">
            <w:r>
              <w:rPr>
                <w:b/>
                <w:color w:val="1F2A44"/>
              </w:rPr>
              <w:t>1.1</w:t>
            </w:r>
          </w:p>
        </w:tc>
        <w:tc>
          <w:tcPr>
            <w:tcW w:w="2481" w:type="dxa"/>
          </w:tcPr>
          <w:p w14:paraId="779D2FC0" w14:textId="77777777" w:rsidR="009F095F" w:rsidRDefault="00250F91">
            <w:r>
              <w:rPr>
                <w:color w:val="666666"/>
              </w:rPr>
              <w:t>6.07.2026 - 13.07.2026</w:t>
            </w:r>
          </w:p>
        </w:tc>
        <w:tc>
          <w:tcPr>
            <w:tcW w:w="1568" w:type="dxa"/>
          </w:tcPr>
          <w:p w14:paraId="643DC70B" w14:textId="77777777" w:rsidR="009F095F" w:rsidRDefault="00250F91">
            <w:r>
              <w:rPr>
                <w:color w:val="666666"/>
              </w:rPr>
              <w:t>13.07.2026</w:t>
            </w:r>
          </w:p>
        </w:tc>
        <w:tc>
          <w:tcPr>
            <w:tcW w:w="3581" w:type="dxa"/>
          </w:tcPr>
          <w:p w14:paraId="3109D939" w14:textId="77777777" w:rsidR="009F095F" w:rsidRDefault="00250F91">
            <w:r>
              <w:t>Role użytkowników (młodszy/starszy handlowiec, administrator), obieg akceptacji ofert, panel administratora i panel seniora, migracje bazy danych, tłumaczenia PL/EN. Wdrożone na środowisko produkcyjne.</w:t>
            </w:r>
          </w:p>
        </w:tc>
      </w:tr>
      <w:tr w:rsidR="00BA4AAF" w14:paraId="2353D4CD" w14:textId="77777777" w:rsidTr="006F108A">
        <w:tc>
          <w:tcPr>
            <w:tcW w:w="1226" w:type="dxa"/>
          </w:tcPr>
          <w:p w14:paraId="49BE37E8" w14:textId="77777777" w:rsidR="00BA4AAF" w:rsidRDefault="00250F91">
            <w:r>
              <w:rPr>
                <w:b/>
                <w:color w:val="1F2A44"/>
              </w:rPr>
              <w:t>1.0</w:t>
            </w:r>
          </w:p>
        </w:tc>
        <w:tc>
          <w:tcPr>
            <w:tcW w:w="2481" w:type="dxa"/>
          </w:tcPr>
          <w:p w14:paraId="217388B7" w14:textId="77777777" w:rsidR="00BA4AAF" w:rsidRDefault="00492984">
            <w:r>
              <w:rPr>
                <w:color w:val="666666"/>
              </w:rPr>
              <w:t>do dnia 31.03.2026</w:t>
            </w:r>
          </w:p>
        </w:tc>
        <w:tc>
          <w:tcPr>
            <w:tcW w:w="1568" w:type="dxa"/>
          </w:tcPr>
          <w:p w14:paraId="68508841" w14:textId="77777777" w:rsidR="00BA4AAF" w:rsidRDefault="00492984">
            <w:r>
              <w:rPr>
                <w:color w:val="666666"/>
              </w:rPr>
              <w:t>6.07.2026</w:t>
            </w:r>
          </w:p>
        </w:tc>
        <w:tc>
          <w:tcPr>
            <w:tcW w:w="3581" w:type="dxa"/>
          </w:tcPr>
          <w:p w14:paraId="74881328" w14:textId="77777777" w:rsidR="00BA4AAF" w:rsidRPr="008709B9" w:rsidRDefault="00250F91">
            <w:r>
              <w:t>Wersja bazowa  - stan wyjściowy aplikacji.</w:t>
            </w:r>
          </w:p>
        </w:tc>
      </w:tr>
    </w:tbl>
    <w:p w14:paraId="62178C45" w14:textId="77777777" w:rsidR="00BA4AAF" w:rsidRDefault="00BA4AAF"/>
    <w:p w14:paraId="3C6D1E11" w14:textId="77777777" w:rsidR="00BA4AAF" w:rsidRDefault="006F108A">
      <w:pPr>
        <w:pBdr>
          <w:bottom w:val="single" w:sz="12" w:space="4" w:color="2B57A6"/>
        </w:pBdr>
        <w:spacing w:before="200" w:after="80"/>
      </w:pPr>
      <w:r>
        <w:rPr>
          <w:b/>
          <w:color w:val="1F2A44"/>
          <w:sz w:val="32"/>
        </w:rPr>
        <w:t>Zmiany w wersji 1.9</w:t>
      </w:r>
    </w:p>
    <w:p w14:paraId="41273456" w14:textId="77777777" w:rsidR="00BA4AAF" w:rsidRDefault="00250F91">
      <w:pPr>
        <w:spacing w:before="240" w:after="40"/>
      </w:pPr>
      <w:r>
        <w:rPr>
          <w:b/>
          <w:color w:val="2B57A6"/>
          <w:sz w:val="26"/>
        </w:rPr>
        <w:t>Zmiany ogólne / systemowe</w:t>
      </w:r>
    </w:p>
    <w:p w14:paraId="180FAFFF" w14:textId="77777777" w:rsidR="00BA4AAF" w:rsidRDefault="00250F91">
      <w:pPr>
        <w:spacing w:after="80"/>
      </w:pPr>
      <w:r>
        <w:rPr>
          <w:i/>
          <w:color w:val="666666"/>
          <w:sz w:val="18"/>
        </w:rPr>
        <w:t>Zmiany niezależne od funkcji - logowanie, wydajność, baza danych, bezpieczeństwo.</w:t>
      </w:r>
    </w:p>
    <w:tbl>
      <w:tblPr>
        <w:tblStyle w:val="Tabela-Siatka"/>
        <w:tblW w:w="0" w:type="auto"/>
        <w:tblLook w:val="04A0" w:firstRow="1" w:lastRow="0" w:firstColumn="1" w:lastColumn="0" w:noHBand="0" w:noVBand="1"/>
      </w:tblPr>
      <w:tblGrid>
        <w:gridCol w:w="1948"/>
        <w:gridCol w:w="6908"/>
      </w:tblGrid>
      <w:tr w:rsidR="00BA4AAF" w14:paraId="54F5215C" w14:textId="77777777" w:rsidTr="000B5C5B">
        <w:tc>
          <w:tcPr>
            <w:tcW w:w="1948" w:type="dxa"/>
            <w:shd w:val="clear" w:color="auto" w:fill="EEF2F8"/>
          </w:tcPr>
          <w:p w14:paraId="2CDF7A91" w14:textId="77777777" w:rsidR="00BA4AAF" w:rsidRDefault="00250F91">
            <w:r>
              <w:rPr>
                <w:b/>
                <w:color w:val="1F2A44"/>
              </w:rPr>
              <w:t>Typ</w:t>
            </w:r>
          </w:p>
        </w:tc>
        <w:tc>
          <w:tcPr>
            <w:tcW w:w="6908" w:type="dxa"/>
            <w:shd w:val="clear" w:color="auto" w:fill="EEF2F8"/>
          </w:tcPr>
          <w:p w14:paraId="146DD79B" w14:textId="77777777" w:rsidR="00BA4AAF" w:rsidRDefault="00250F91">
            <w:r>
              <w:rPr>
                <w:b/>
                <w:color w:val="1F2A44"/>
              </w:rPr>
              <w:t>Opis zmiany</w:t>
            </w:r>
          </w:p>
        </w:tc>
      </w:tr>
      <w:tr w:rsidR="00F95910" w14:paraId="51453208" w14:textId="77777777">
        <w:tc>
          <w:tcPr>
            <w:tcW w:w="1948" w:type="dxa"/>
          </w:tcPr>
          <w:p w14:paraId="5B0DAE45" w14:textId="77777777" w:rsidR="00F95910" w:rsidRDefault="00000000">
            <w:r>
              <w:t>Bezpieczeństwo</w:t>
            </w:r>
          </w:p>
        </w:tc>
        <w:tc>
          <w:tcPr>
            <w:tcW w:w="6908" w:type="dxa"/>
          </w:tcPr>
          <w:p w14:paraId="36E383D4" w14:textId="77777777" w:rsidR="00F95910" w:rsidRDefault="00000000">
            <w:r>
              <w:t>Naprawiono podatność XSS w komunikatach ostrzegawczych kalkulatora o grubości/szerokości poza zakresem tabeli - treść była wstawiana do strony bez oczyszczenia (dangerouslySetInnerHTML), więc spreparowana wartość szerokości lub grubości zapisana w danych oferty mogła wykonać się jako kod w przeglądarce osoby otwierającej tę ofertę (np. seniora lub administratora przy akceptacji). Wartości wstawiane do tych komunikatów są teraz oczyszczane (funkcja formatWarning w lib/translations.ts).</w:t>
            </w:r>
          </w:p>
        </w:tc>
      </w:tr>
    </w:tbl>
    <w:p w14:paraId="669D4AD3" w14:textId="77777777" w:rsidR="00BA4AAF" w:rsidRDefault="00250F91">
      <w:pPr>
        <w:spacing w:before="240" w:after="40"/>
      </w:pPr>
      <w:r>
        <w:rPr>
          <w:b/>
          <w:color w:val="2B57A6"/>
          <w:sz w:val="26"/>
        </w:rPr>
        <w:lastRenderedPageBreak/>
        <w:t>Kalkulator wyceny</w:t>
      </w:r>
    </w:p>
    <w:p w14:paraId="3B4C6C66" w14:textId="77777777" w:rsidR="00BA4AAF" w:rsidRDefault="00250F91">
      <w:pPr>
        <w:spacing w:after="80"/>
      </w:pPr>
      <w:r>
        <w:rPr>
          <w:i/>
          <w:color w:val="666666"/>
          <w:sz w:val="18"/>
        </w:rPr>
        <w:t>Typy stali, gatunki, dopłaty huty i przetwórcze, marża, logika ceny końcowej.</w:t>
      </w:r>
    </w:p>
    <w:tbl>
      <w:tblPr>
        <w:tblStyle w:val="Tabela-Siatka"/>
        <w:tblW w:w="0" w:type="auto"/>
        <w:tblLook w:val="04A0" w:firstRow="1" w:lastRow="0" w:firstColumn="1" w:lastColumn="0" w:noHBand="0" w:noVBand="1"/>
      </w:tblPr>
      <w:tblGrid>
        <w:gridCol w:w="1963"/>
        <w:gridCol w:w="6893"/>
      </w:tblGrid>
      <w:tr w:rsidR="00BA4AAF" w14:paraId="37765086" w14:textId="77777777" w:rsidTr="006F108A">
        <w:tc>
          <w:tcPr>
            <w:tcW w:w="1967" w:type="dxa"/>
            <w:shd w:val="clear" w:color="auto" w:fill="EEF2F8"/>
          </w:tcPr>
          <w:p w14:paraId="7DE76688" w14:textId="77777777" w:rsidR="00BA4AAF" w:rsidRDefault="00250F91">
            <w:r>
              <w:rPr>
                <w:b/>
                <w:color w:val="1F2A44"/>
              </w:rPr>
              <w:t>Typ</w:t>
            </w:r>
          </w:p>
        </w:tc>
        <w:tc>
          <w:tcPr>
            <w:tcW w:w="6889" w:type="dxa"/>
            <w:shd w:val="clear" w:color="auto" w:fill="EEF2F8"/>
          </w:tcPr>
          <w:p w14:paraId="31557BAC" w14:textId="77777777" w:rsidR="00BA4AAF" w:rsidRDefault="00250F91">
            <w:r>
              <w:rPr>
                <w:b/>
                <w:color w:val="1F2A44"/>
              </w:rPr>
              <w:t>Opis zmiany</w:t>
            </w:r>
          </w:p>
        </w:tc>
      </w:tr>
      <w:tr w:rsidR="00F95910" w14:paraId="53A3A377" w14:textId="77777777">
        <w:tc>
          <w:tcPr>
            <w:tcW w:w="1948" w:type="dxa"/>
          </w:tcPr>
          <w:p w14:paraId="50FBF2C1" w14:textId="77777777" w:rsidR="00F95910" w:rsidRDefault="00000000">
            <w:r>
              <w:t>Nowa funkcja</w:t>
            </w:r>
          </w:p>
        </w:tc>
        <w:tc>
          <w:tcPr>
            <w:tcW w:w="6908" w:type="dxa"/>
          </w:tcPr>
          <w:p w14:paraId="6C9CBA4A" w14:textId="77777777" w:rsidR="00F95910" w:rsidRDefault="00000000">
            <w:r>
              <w:t>W nagłówku Zestawienia obok liczby pozycji i tonażu dodano widoczną plakietkę „Koszt transportu” z sumą kosztu transportu wyliczoną tylko dla pozycji faktycznie znajdujących się w zestawieniu (każda pozycja liczona po swojej zamrożonej stawce €/t × jej tonaż) - wcześniej tę informację było widać dopiero po przewinięciu do wiersza RAZEM w stopce tabeli, a plakietka pozycji/tonażu miała kolor zlewający się z tłem. Nowa plakietka używa tego samego akcentu co suma końcowa oferty, więc od razu rzuca się w oczy. Zmiana obejmuje wszystkie 4 języki interfejsu (PL/EN/CS/DE).</w:t>
            </w:r>
          </w:p>
        </w:tc>
      </w:tr>
      <w:tr w:rsidR="00F95910" w14:paraId="53A3A377" w14:textId="77777777">
        <w:tc>
          <w:tcPr>
            <w:tcW w:w="1948" w:type="dxa"/>
          </w:tcPr>
          <w:p w14:paraId="50FBF2C1" w14:textId="77777777" w:rsidR="00F95910" w:rsidRDefault="00000000">
            <w:r>
              <w:t>Poprawka</w:t>
            </w:r>
          </w:p>
        </w:tc>
        <w:tc>
          <w:tcPr>
            <w:tcW w:w="6908" w:type="dxa"/>
          </w:tcPr>
          <w:p w14:paraId="6C9CBA4A" w14:textId="77777777" w:rsidR="00F95910" w:rsidRDefault="00000000">
            <w:r>
              <w:t>Naprawiono zaniżanie stawki transportu €/t na pozycjach już dodanych do zestawienia: tonaż użyty do podziału ryczałtu za ciężarówkę obejmował także ilość wpisaną w formularzu KOLEJNEJ, jeszcze niedodanej pozycji (pole „Ilość” zostaje wypełnione domyślną/poprzednią wartością nawet bez kliknięcia „Dodaj do zestawienia”), więc np. przy 1 pozycji w zestawieniu i domyślnym szkicu 1 t system dzielił stawkę tak, jakby w ofercie były 2 t - dla trasy do 100 km dawało to ok. 157 €/t zamiast poprawnych ok. 320 €/t. Wyliczenie stawki transportu rozdzielono na dwie wartości: podgląd (uwzględnia szkic niedodanej pozycji - do wyceny pozycji aktualnie konfigurowanej) i tonaż faktycznie zatwierdzony (tylko pozycje już w zestawieniu - do przeliczania stawki pozycji już dodanych). Samo wpisywanie ilości w formularzu nowej pozycji nie zmienia już po cichu ceny pozycji, które są już na liście.</w:t>
            </w:r>
          </w:p>
        </w:tc>
      </w:tr>
    </w:tbl>
    <w:p w14:paraId="47C2EC5D" w14:textId="77777777" w:rsidR="00BA4AAF" w:rsidRDefault="00250F91">
      <w:pPr>
        <w:spacing w:before="240" w:after="40"/>
      </w:pPr>
      <w:r>
        <w:rPr>
          <w:b/>
          <w:color w:val="2B57A6"/>
          <w:sz w:val="26"/>
        </w:rPr>
        <w:t>Zarządzanie ofertami</w:t>
      </w:r>
    </w:p>
    <w:p w14:paraId="1BF2875A" w14:textId="77777777" w:rsidR="00BA4AAF" w:rsidRDefault="00250F91">
      <w:pPr>
        <w:spacing w:after="80"/>
      </w:pPr>
      <w:r>
        <w:rPr>
          <w:i/>
          <w:color w:val="666666"/>
          <w:sz w:val="18"/>
        </w:rPr>
        <w:t>Tworzenie, zapis, lista, edycja, duplikowanie i usuwanie ofert.</w:t>
      </w:r>
    </w:p>
    <w:tbl>
      <w:tblPr>
        <w:tblStyle w:val="Tabela-Siatka"/>
        <w:tblW w:w="0" w:type="auto"/>
        <w:tblLook w:val="04A0" w:firstRow="1" w:lastRow="0" w:firstColumn="1" w:lastColumn="0" w:noHBand="0" w:noVBand="1"/>
      </w:tblPr>
      <w:tblGrid>
        <w:gridCol w:w="1944"/>
        <w:gridCol w:w="6912"/>
      </w:tblGrid>
      <w:tr w:rsidR="00BA4AAF" w14:paraId="490A0C63" w14:textId="77777777">
        <w:tc>
          <w:tcPr>
            <w:tcW w:w="1984" w:type="dxa"/>
            <w:shd w:val="clear" w:color="auto" w:fill="EEF2F8"/>
          </w:tcPr>
          <w:p w14:paraId="423F39D3" w14:textId="77777777" w:rsidR="00BA4AAF" w:rsidRDefault="00250F91">
            <w:r>
              <w:rPr>
                <w:b/>
                <w:color w:val="1F2A44"/>
              </w:rPr>
              <w:t>Typ</w:t>
            </w:r>
          </w:p>
        </w:tc>
        <w:tc>
          <w:tcPr>
            <w:tcW w:w="7087" w:type="dxa"/>
            <w:shd w:val="clear" w:color="auto" w:fill="EEF2F8"/>
          </w:tcPr>
          <w:p w14:paraId="0E9A1AFD"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Kolejność informacji w nagłówku wiersza na liście „Moje oferty” rozszerzona o dane klienta: bezpośrednio pod numerem oferty (offer_id) pojawia się teraz osobna linia z nazwą firmy i numerem SAP klienta („Firma — SAP: 12345”, a przy braku SAP ID sama nazwa firmy), a nazwa własna oferty (jeśli różni się od offer_id) zeszła o jedną linię niżej, pod nią. Dla ofert bez jeszcze uzupełnionych danych klienta (świeże szkice) linia pokazuje placeholder „— brak danych firmy —”, tak by wysokość wiersza nie zmieniała się po ich uzupełnieniu. Zmiana obejmuje wszystkie 4 języki interfejsu aplikacji (PL/EN/CS/DE).</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Wyszukiwarka na liście „Moje oferty” (oraz w panelach Starszego handlowca i Administratora) rozszerzona o dopasowanie po nazwie firmy klienta i numerze SAP ID, nie tylko po nazwie/numerze oferty jak dotychczas - dane porównywane są z zapisanym w samej ofercie offer_data.clientInfo, więc wynik zawsze widocznie zawiera wpisaną frazę. Opcja sortowania „Nazwa” na liście „Moje oferty” zmieniona na „Nazwa oferty”, żeby nie myliła się z nazwą firmy klienta, a obok niej doszły nowe opcje sortowania „Firma” i „SAP ID”. Panele Starszego handlowca i Administratora, które wcześniej nie miały żadnego sortowania, dostały ten sam pełny zestaw (data, nazwa oferty, firma, SAP ID, wartość, status) - dla Starszego handlowca domyślna kolejność z kolejką ofert do recenzji zawsze na górze została zachowana niezależnie od wybranego kierunku sortowania. Zmiana obejmuje wszystkie 4 języki interfejsu aplikacji (PL/EN/CS/DE).</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Status oferty na liście „Moje oferty” (np. „Przegrana: cena” albo „Odrzucona: &lt;powód&gt;”) pokazywany teraz jako skrócony tekst wewnątrz istniejącej plakietki statusu obok numeru oferty (offer_id), zamiast osobnego pełnowymiarowego czerwonego bloku pod nazwą firmy klienta - ten blok odciągał wzrok handlowca od najważniejszej informacji w wierszu, czyli nazwy firmy. Dłuższy powód jest skracany w plakietce (do ok. 24 znaków), a pełna treść dostępna po najechaniu kursorem (tooltip). Dotyczy zarówno powodu odrzucenia oferty, jak i notatki „dlaczego przegrana” wpisanej przy decyzji klienta.</w:t>
            </w:r>
          </w:p>
        </w:tc>
      </w:tr>
    </w:tbl>
    <w:p w14:paraId="2A7A0CC4" w14:textId="77777777" w:rsidR="00BA4AAF" w:rsidRDefault="00250F91">
      <w:pPr>
        <w:spacing w:before="240" w:after="40"/>
      </w:pPr>
      <w:r>
        <w:rPr>
          <w:b/>
          <w:color w:val="2B57A6"/>
          <w:sz w:val="26"/>
        </w:rPr>
        <w:t>Eksport PDF</w:t>
      </w:r>
    </w:p>
    <w:p w14:paraId="2748737A" w14:textId="77777777" w:rsidR="00BA4AAF" w:rsidRDefault="00250F91">
      <w:pPr>
        <w:spacing w:after="80"/>
      </w:pPr>
      <w:r>
        <w:rPr>
          <w:i/>
          <w:color w:val="666666"/>
          <w:sz w:val="18"/>
        </w:rPr>
        <w:t>Wygląd i zawartość oferty PDF, dane klienta.</w:t>
      </w:r>
    </w:p>
    <w:tbl>
      <w:tblPr>
        <w:tblStyle w:val="Tabela-Siatka"/>
        <w:tblW w:w="0" w:type="auto"/>
        <w:tblLook w:val="04A0" w:firstRow="1" w:lastRow="0" w:firstColumn="1" w:lastColumn="0" w:noHBand="0" w:noVBand="1"/>
      </w:tblPr>
      <w:tblGrid>
        <w:gridCol w:w="1944"/>
        <w:gridCol w:w="6912"/>
      </w:tblGrid>
      <w:tr w:rsidR="00BA4AAF" w14:paraId="658D61F9" w14:textId="77777777">
        <w:tc>
          <w:tcPr>
            <w:tcW w:w="1984" w:type="dxa"/>
            <w:shd w:val="clear" w:color="auto" w:fill="EEF2F8"/>
          </w:tcPr>
          <w:p w14:paraId="2182D29C" w14:textId="77777777" w:rsidR="00BA4AAF" w:rsidRDefault="00250F91">
            <w:r>
              <w:rPr>
                <w:b/>
                <w:color w:val="1F2A44"/>
              </w:rPr>
              <w:t>Typ</w:t>
            </w:r>
          </w:p>
        </w:tc>
        <w:tc>
          <w:tcPr>
            <w:tcW w:w="7087" w:type="dxa"/>
            <w:shd w:val="clear" w:color="auto" w:fill="EEF2F8"/>
          </w:tcPr>
          <w:p w14:paraId="32D6627F" w14:textId="77777777" w:rsidR="00BA4AAF" w:rsidRDefault="00250F91">
            <w:r>
              <w:rPr>
                <w:b/>
                <w:color w:val="1F2A44"/>
              </w:rPr>
              <w:t>Opis zmiany</w:t>
            </w:r>
          </w:p>
        </w:tc>
      </w:tr>
      <w:tr w:rsidR="00F95910" w14:paraId="49694146" w14:textId="77777777">
        <w:tc>
          <w:tcPr>
            <w:tcW w:w="1948" w:type="dxa"/>
          </w:tcPr>
          <w:p w14:paraId="7BF4845D" w14:textId="77777777" w:rsidR="00F95910" w:rsidRDefault="00000000">
            <w:r>
              <w:t>–</w:t>
            </w:r>
          </w:p>
        </w:tc>
        <w:tc>
          <w:tcPr>
            <w:tcW w:w="6908" w:type="dxa"/>
          </w:tcPr>
          <w:p w14:paraId="6E86EE1A" w14:textId="77777777" w:rsidR="00F95910" w:rsidRDefault="00000000">
            <w:r>
              <w:t>Brak zmian</w:t>
            </w:r>
          </w:p>
        </w:tc>
      </w:tr>
    </w:tbl>
    <w:p w14:paraId="65F9EE92" w14:textId="77777777" w:rsidR="00BA4AAF" w:rsidRDefault="00250F91">
      <w:pPr>
        <w:spacing w:before="240" w:after="40"/>
      </w:pPr>
      <w:r>
        <w:rPr>
          <w:b/>
          <w:color w:val="2B57A6"/>
          <w:sz w:val="26"/>
        </w:rPr>
        <w:t>Interfejs i języki</w:t>
      </w:r>
    </w:p>
    <w:p w14:paraId="40425691" w14:textId="77777777" w:rsidR="00BA4AAF" w:rsidRDefault="00250F91">
      <w:pPr>
        <w:spacing w:after="80"/>
      </w:pPr>
      <w:r>
        <w:rPr>
          <w:i/>
          <w:color w:val="666666"/>
          <w:sz w:val="18"/>
        </w:rPr>
        <w:t>Wygląd aplikacji, użyteczność, dwujęzyczność (PL / EN).</w:t>
      </w:r>
    </w:p>
    <w:tbl>
      <w:tblPr>
        <w:tblStyle w:val="Tabela-Siatka"/>
        <w:tblW w:w="0" w:type="auto"/>
        <w:tblLook w:val="04A0" w:firstRow="1" w:lastRow="0" w:firstColumn="1" w:lastColumn="0" w:noHBand="0" w:noVBand="1"/>
      </w:tblPr>
      <w:tblGrid>
        <w:gridCol w:w="1963"/>
        <w:gridCol w:w="6893"/>
      </w:tblGrid>
      <w:tr w:rsidR="00BA4AAF" w14:paraId="1E0C8DFD" w14:textId="77777777" w:rsidTr="00892060">
        <w:tc>
          <w:tcPr>
            <w:tcW w:w="1963" w:type="dxa"/>
            <w:shd w:val="clear" w:color="auto" w:fill="EEF2F8"/>
          </w:tcPr>
          <w:p w14:paraId="4BFFD85C" w14:textId="77777777" w:rsidR="00BA4AAF" w:rsidRDefault="00250F91">
            <w:r>
              <w:rPr>
                <w:b/>
                <w:color w:val="1F2A44"/>
              </w:rPr>
              <w:t>Typ</w:t>
            </w:r>
          </w:p>
        </w:tc>
        <w:tc>
          <w:tcPr>
            <w:tcW w:w="6893" w:type="dxa"/>
            <w:shd w:val="clear" w:color="auto" w:fill="EEF2F8"/>
          </w:tcPr>
          <w:p w14:paraId="311C198A" w14:textId="77777777" w:rsidR="00BA4AAF" w:rsidRDefault="00250F91">
            <w:r>
              <w:rPr>
                <w:b/>
                <w:color w:val="1F2A44"/>
              </w:rPr>
              <w:t>Opis zmiany</w:t>
            </w:r>
          </w:p>
        </w:tc>
      </w:tr>
      <w:tr w:rsidR="00F95910" w14:paraId="40AB2BE9" w14:textId="77777777">
        <w:tc>
          <w:tcPr>
            <w:tcW w:w="1963" w:type="dxa"/>
          </w:tcPr>
          <w:p w14:paraId="62AFE7FE" w14:textId="77777777" w:rsidR="00F95910" w:rsidRDefault="00000000">
            <w:r>
              <w:t>–</w:t>
            </w:r>
          </w:p>
        </w:tc>
        <w:tc>
          <w:tcPr>
            <w:tcW w:w="6893" w:type="dxa"/>
          </w:tcPr>
          <w:p w14:paraId="1163E740" w14:textId="77777777" w:rsidR="00F95910" w:rsidRDefault="00000000">
            <w:r>
              <w:t>Brak zmian</w:t>
            </w:r>
          </w:p>
        </w:tc>
      </w:tr>
    </w:tbl>
    <w:p w14:paraId="01C06330" w14:textId="77777777" w:rsidR="00BA4AAF" w:rsidRDefault="00250F91">
      <w:pPr>
        <w:spacing w:before="320" w:after="120"/>
      </w:pPr>
      <w:r>
        <w:rPr>
          <w:b/>
          <w:color w:val="1F2A44"/>
          <w:sz w:val="26"/>
        </w:rPr>
        <w:t>Znane problemy / prace w toku</w:t>
      </w:r>
    </w:p>
    <w:p w14:paraId="4CA9DE3C" w14:textId="77777777" w:rsidR="00350740" w:rsidRPr="00C2208F" w:rsidRDefault="006F108A">
      <w:pPr>
        <w:pStyle w:val="Listapunktowana"/>
      </w:pPr>
      <w:r>
        <w:t>Import ofert z pliku Excel (format KTS/GPAO) - przeanalizowany, budowa świadomie odłożona na później</w:t>
      </w:r>
    </w:p>
    <w:p w14:paraId="19663166" w14:textId="77777777" w:rsidR="00350740" w:rsidRPr="00C2208F" w:rsidRDefault="006F108A">
      <w:pPr>
        <w:pStyle w:val="Listapunktowana"/>
      </w:pPr>
      <w:r>
        <w:t>Hasła kont testowych o długości 4 znaków (celowo obniżone na czas testów) - docelowo wymaga blokady prób logowania zamiast podnoszenia wymogu długości</w:t>
      </w:r>
    </w:p>
    <w:p w14:paraId="0081D646" w14:textId="77777777" w:rsidR="00350740" w:rsidRPr="00C2208F" w:rsidRDefault="006F108A">
      <w:pPr>
        <w:pStyle w:val="Listapunktowana"/>
      </w:pPr>
      <w:r>
        <w:t>Uśpiony Prisma/NextAuth oraz zdublowane pliki danych kalkulatora (calc-data.ts / calculatorData.ts) do uporządkowania</w:t>
      </w:r>
    </w:p>
    <w:p w14:paraId="1005E219" w14:textId="77777777" w:rsidR="00350740" w:rsidRPr="00C2208F" w:rsidRDefault="006F108A">
      <w:pPr>
        <w:pStyle w:val="Listapunktowana"/>
      </w:pPr>
      <w:r>
        <w:t>Wysyłka oferty do klienta to na razie wyłącznie zmiana statusu na „wysłana” - rzeczywista dostawa e-mailem / PDF do klienta jeszcze niezaimplementowana (świadomie odłożona).</w:t>
      </w:r>
    </w:p>
    <w:p w14:paraId="2BBF8DAD" w14:textId="77777777" w:rsidR="00BA4AAF" w:rsidRDefault="00250F91">
      <w:pPr>
        <w:spacing w:before="200" w:after="120"/>
      </w:pPr>
      <w:r>
        <w:rPr>
          <w:b/>
          <w:color w:val="1F2A44"/>
          <w:sz w:val="26"/>
        </w:rPr>
        <w:t>Plany na kolejny tydzień</w:t>
      </w:r>
    </w:p>
    <w:p w14:paraId="6EAAE336" w14:textId="77777777" w:rsidR="00A14329" w:rsidRDefault="00250F91">
      <w:pPr>
        <w:pStyle w:val="Listapunktowana"/>
      </w:pPr>
      <w:r>
        <w:t>Testy ręczne end-to-end wszystkich trzech ról i pełnego obiegu oferty na środowisku produkcyjnym (po wdrożeniu wersji 1.8)</w:t>
      </w:r>
    </w:p>
    <w:p w14:paraId="4CBF8212" w14:textId="77777777" w:rsidR="00A14329" w:rsidRDefault="00250F91">
      <w:pPr>
        <w:pStyle w:val="Listapunktowana"/>
      </w:pPr>
      <w:r>
        <w:t>Ręczne testy panelu Analiza i osi „decyzja klienta” (wygrana / przegrana) na środowisku produkcyjnym: zakres danych per rola, poprawność KPI i wykresów, zapis i cofnięcie decyzji na ofercie wysłanej.</w:t>
      </w:r>
    </w:p>
    <w:p w14:paraId="69EDB93A" w14:textId="77777777" w:rsidR="00A14329" w:rsidRDefault="00250F91">
      <w:pPr>
        <w:pStyle w:val="Listapunktowana"/>
      </w:pPr>
      <w:r>
        <w:t>Ręczne testy sekcji „Trasa i transport” na środowisku produkcyjnym: adresy z kartoteki klienta, przekroczenie ładowności (dwa kursy), elementy ponadwymiarowe, tryb ręczny oraz zachowanie przy niedostępnym serwisie map.</w:t>
      </w:r>
    </w:p>
    <w:p w14:paraId="2CDB85C1" w14:textId="643D0176" w:rsidR="00BA4AAF" w:rsidRDefault="00BA4AAF" w:rsidP="00150A8E">
      <w:pPr>
        <w:pStyle w:val="Listapunktowana"/>
        <w:numPr>
          <w:ilvl w:val="0"/>
          <w:numId w:val="0"/>
        </w:numPr>
        <w:pBdr>
          <w:bottom w:val="single" w:sz="12" w:space="4" w:color="2B57A6"/>
        </w:pBdr>
        <w:spacing w:before="400"/>
        <w:ind w:left="360"/>
      </w:pPr>
    </w:p>
    <w:tbl>
      <w:tblPr>
        <w:tblW w:w="0" w:type="auto"/>
        <w:tblLook w:val="04A0" w:firstRow="1" w:lastRow="0" w:firstColumn="1" w:lastColumn="0" w:noHBand="0" w:noVBand="1"/>
      </w:tblPr>
      <w:tblGrid>
        <w:gridCol w:w="4320"/>
        <w:gridCol w:w="4320"/>
      </w:tblGrid>
      <w:tr w:rsidR="00BA4AAF" w14:paraId="1A9C011A" w14:textId="77777777">
        <w:tc>
          <w:tcPr>
            <w:tcW w:w="4320" w:type="dxa"/>
          </w:tcPr>
          <w:p w14:paraId="7CA70FC1" w14:textId="77777777" w:rsidR="00BA4AAF" w:rsidRDefault="00250F91">
            <w:r>
              <w:rPr>
                <w:color w:val="1F2A44"/>
              </w:rPr>
              <w:lastRenderedPageBreak/>
              <w:t>Sporządził:  Mateusz Mazur</w:t>
            </w:r>
          </w:p>
        </w:tc>
        <w:tc>
          <w:tcPr>
            <w:tcW w:w="4320" w:type="dxa"/>
          </w:tcPr>
          <w:p w14:paraId="30146CBB" w14:textId="77777777" w:rsidR="00BA4AAF" w:rsidRDefault="00250F91">
            <w:pPr>
              <w:jc w:val="right"/>
            </w:pPr>
            <w:r>
              <w:rPr>
                <w:color w:val="666666"/>
              </w:rPr>
              <w:t>Zatwierdził:  ______________________</w:t>
            </w:r>
          </w:p>
        </w:tc>
      </w:tr>
    </w:tbl>
    <w:p w14:paraId="6DE2FAA4"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5CE97" w14:textId="77777777" w:rsidR="0009063D" w:rsidRDefault="0009063D">
      <w:pPr>
        <w:spacing w:after="0" w:line="240" w:lineRule="auto"/>
      </w:pPr>
      <w:r>
        <w:separator/>
      </w:r>
    </w:p>
  </w:endnote>
  <w:endnote w:type="continuationSeparator" w:id="0">
    <w:p w14:paraId="048A5371" w14:textId="77777777" w:rsidR="0009063D" w:rsidRDefault="00090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A9342" w14:textId="77777777" w:rsidR="00BA4AAF" w:rsidRDefault="00250F91">
    <w:pPr>
      <w:pStyle w:val="Stopka"/>
      <w:jc w:val="center"/>
    </w:pPr>
    <w:r>
      <w:rPr>
        <w:color w:val="666666"/>
        <w:sz w:val="16"/>
      </w:rPr>
      <w:t xml:space="preserve">AMSteel Quote - Raport wersji  |  Mateusz Mazur  |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145CB" w14:textId="77777777" w:rsidR="0009063D" w:rsidRDefault="0009063D">
      <w:pPr>
        <w:spacing w:after="0" w:line="240" w:lineRule="auto"/>
      </w:pPr>
      <w:r>
        <w:separator/>
      </w:r>
    </w:p>
  </w:footnote>
  <w:footnote w:type="continuationSeparator" w:id="0">
    <w:p w14:paraId="3FAD64B1" w14:textId="77777777" w:rsidR="0009063D" w:rsidRDefault="000906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8F9D1"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9063D"/>
    <w:rsid w:val="000B0BCE"/>
    <w:rsid w:val="000B282E"/>
    <w:rsid w:val="000B5C5B"/>
    <w:rsid w:val="000B7752"/>
    <w:rsid w:val="000E149A"/>
    <w:rsid w:val="001307A8"/>
    <w:rsid w:val="00144CCC"/>
    <w:rsid w:val="0015074B"/>
    <w:rsid w:val="00150A8E"/>
    <w:rsid w:val="00157706"/>
    <w:rsid w:val="00170FC6"/>
    <w:rsid w:val="00183135"/>
    <w:rsid w:val="00250F91"/>
    <w:rsid w:val="0029639D"/>
    <w:rsid w:val="002A13CF"/>
    <w:rsid w:val="002A1D78"/>
    <w:rsid w:val="002B7A05"/>
    <w:rsid w:val="002D2E3D"/>
    <w:rsid w:val="002E60D7"/>
    <w:rsid w:val="002F24E4"/>
    <w:rsid w:val="002F2EA2"/>
    <w:rsid w:val="00326F90"/>
    <w:rsid w:val="00350740"/>
    <w:rsid w:val="003626D2"/>
    <w:rsid w:val="00391B47"/>
    <w:rsid w:val="003A54B5"/>
    <w:rsid w:val="003C010B"/>
    <w:rsid w:val="003D389F"/>
    <w:rsid w:val="00404AB3"/>
    <w:rsid w:val="00430A2A"/>
    <w:rsid w:val="00436807"/>
    <w:rsid w:val="00492984"/>
    <w:rsid w:val="004C79D5"/>
    <w:rsid w:val="00505D3B"/>
    <w:rsid w:val="005171B4"/>
    <w:rsid w:val="00520812"/>
    <w:rsid w:val="005218DF"/>
    <w:rsid w:val="00536988"/>
    <w:rsid w:val="005436A7"/>
    <w:rsid w:val="00555311"/>
    <w:rsid w:val="0055789D"/>
    <w:rsid w:val="005859E7"/>
    <w:rsid w:val="005D7B4B"/>
    <w:rsid w:val="00617C6D"/>
    <w:rsid w:val="00653B09"/>
    <w:rsid w:val="00671ECD"/>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8E56CA"/>
    <w:rsid w:val="00997DE9"/>
    <w:rsid w:val="009F095F"/>
    <w:rsid w:val="009F31A2"/>
    <w:rsid w:val="009F6800"/>
    <w:rsid w:val="00A02183"/>
    <w:rsid w:val="00A14329"/>
    <w:rsid w:val="00A45E1B"/>
    <w:rsid w:val="00A535C4"/>
    <w:rsid w:val="00AA1D8D"/>
    <w:rsid w:val="00AE13B0"/>
    <w:rsid w:val="00AF7590"/>
    <w:rsid w:val="00B0134B"/>
    <w:rsid w:val="00B36AEF"/>
    <w:rsid w:val="00B47730"/>
    <w:rsid w:val="00B607B4"/>
    <w:rsid w:val="00BA4AAF"/>
    <w:rsid w:val="00BA6CF9"/>
    <w:rsid w:val="00BB0A80"/>
    <w:rsid w:val="00C05C5A"/>
    <w:rsid w:val="00C2208F"/>
    <w:rsid w:val="00C302B7"/>
    <w:rsid w:val="00C62E5A"/>
    <w:rsid w:val="00CB0664"/>
    <w:rsid w:val="00D03A63"/>
    <w:rsid w:val="00D21B55"/>
    <w:rsid w:val="00D22FBE"/>
    <w:rsid w:val="00D2414B"/>
    <w:rsid w:val="00D7535D"/>
    <w:rsid w:val="00DF56CB"/>
    <w:rsid w:val="00DF74C1"/>
    <w:rsid w:val="00EE3BD0"/>
    <w:rsid w:val="00EF3709"/>
    <w:rsid w:val="00F05F0C"/>
    <w:rsid w:val="00F127D9"/>
    <w:rsid w:val="00F12DC9"/>
    <w:rsid w:val="00F3442E"/>
    <w:rsid w:val="00F369F9"/>
    <w:rsid w:val="00F6747C"/>
    <w:rsid w:val="00F95910"/>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1388E0"/>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11</Pages>
  <Words>2257</Words>
  <Characters>13548</Characters>
  <Application>Microsoft Office Word</Application>
  <DocSecurity>0</DocSecurity>
  <Lines>112</Lines>
  <Paragraphs>31</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27</cp:revision>
  <dcterms:created xsi:type="dcterms:W3CDTF">2026-07-08T11:11:00Z</dcterms:created>
  <dcterms:modified xsi:type="dcterms:W3CDTF">2026-09-15T07:03:00Z</dcterms:modified>
  <cp:category/>
</cp:coreProperties>
</file>