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101CF7A" w:rsidR="00BA4AAF" w:rsidRDefault="00F316DB">
            <w:r>
              <w:t>1</w:t>
            </w:r>
            <w:r w:rsidR="00182A87">
              <w:t>3</w:t>
            </w:r>
            <w:r>
              <w:t xml:space="preserve">.10.2026 -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BA4AAF"/>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6942E1BB" w:rsidR="00DF56CB" w:rsidRDefault="00F316DB">
            <w:r>
              <w:t>1</w:t>
            </w:r>
            <w:r w:rsidR="00182A87">
              <w:t>3</w:t>
            </w:r>
            <w:r>
              <w:t xml:space="preserve">.10.2026 - </w:t>
            </w:r>
          </w:p>
        </w:tc>
        <w:tc>
          <w:tcPr>
            <w:tcW w:w="1550" w:type="dxa"/>
          </w:tcPr>
          <w:p w14:paraId="55495847" w14:textId="542D1DA6" w:rsidR="00DF56CB" w:rsidRDefault="00DF56CB"/>
        </w:tc>
        <w:tc>
          <w:tcPr>
            <w:tcW w:w="3678" w:type="dxa"/>
          </w:tcPr>
          <w:p w14:paraId="79CC7DB9" w14:textId="2291F9DF" w:rsidR="00DF56CB" w:rsidRDefault="00DF56CB">
            <w:r>
              <w:t>(w trakcie)</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w:t>
            </w:r>
            <w:r>
              <w:lastRenderedPageBreak/>
              <w:t>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w:t>
            </w:r>
            <w:r>
              <w:lastRenderedPageBreak/>
              <w:t>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w:t>
            </w:r>
            <w:r>
              <w:lastRenderedPageBreak/>
              <w:t>(handlowiec/typ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w:t>
            </w:r>
            <w:r>
              <w:lastRenderedPageBreak/>
              <w:t xml:space="preserve">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w:t>
            </w:r>
            <w:r>
              <w:lastRenderedPageBreak/>
              <w:t xml:space="preserve">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w:t>
            </w:r>
            <w:r>
              <w:lastRenderedPageBreak/>
              <w:t>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t>
            </w:r>
            <w:r>
              <w:lastRenderedPageBreak/>
              <w:t>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w:t>
            </w:r>
            <w:r>
              <w:lastRenderedPageBreak/>
              <w:t xml:space="preserve">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w:t>
            </w:r>
            <w:r>
              <w:lastRenderedPageBreak/>
              <w:t>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w:t>
            </w:r>
            <w:r>
              <w:lastRenderedPageBreak/>
              <w:t>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w:t>
            </w:r>
            <w:r>
              <w:lastRenderedPageBreak/>
              <w:t>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Autor każdej wersji oferty: nowa kolumna offers.created_by (migracja 033_offer_version_author.sql). Zapis nowej oferty, kopii i każdej edycji zapamiętuje, kto ją wykonał - dotąd edycja recenzenta zapisywała się pod właścicielem oferty i autor zmiany ginął. Wersje sprzed migracji nie mają autora. Wdrożenie: migrację 033 uruchomić PRZED wdrożeniem kodu (bez niej listy ofert i zapis zwracają błąd).</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Domyślny termin płatności zmieniony z 7 na 30 dni (migracja 034_payment_term_default_30.sql - do uruchomienia przy wdrożeniu 2.1, bezpieczna w dowolnej kolejności względem kodu). Usunięto preset „2 dni” z wyboru terminu płatności klienta.</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t>Zmiana</w:t>
            </w:r>
          </w:p>
        </w:tc>
        <w:tc>
          <w:tcPr>
            <w:tcW w:w="6908" w:type="dxa"/>
          </w:tcPr>
          <w:p w14:paraId="723BBF99" w14:textId="77777777" w:rsidR="00F95910" w:rsidRDefault="00F95910">
            <w:r>
              <w:t>Ważność oferty zamiast terminu płatności w kalkulatorze: w miejscu wyboru terminu płatności są przyciski „Ważność oferty” 24h (domyślnie), 48h oraz Niestandardowy (dowolna liczba godzin). Termin płatności nie jest już wybierany przy ofercie - kalkulator tylko go wyświetla („Termin płatności: 30 dni od otrzymania faktury”) i pobiera z ustawień klienta (panel Klienci / panel Starszego handlowca), a gdy klient nie ma własnego terminu - z domyślnego w Ustawieniach (30 dni). Okres ważności oferty (Ważna od / do) bez zmian. Reguła akceptacji „ważność oferty &gt; 48h” liczona jest teraz z wybranych godzin, a nie z terminu płatności × 24 (wcześniej termin 30 dni dawał 720h i zawsze wymagał akceptacji N+2); zapisane wcześniej oferty zachowują dotychczasowe wyliczenie.</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8"/>
        <w:gridCol w:w="6908"/>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Nowa funkcja</w:t>
            </w:r>
          </w:p>
        </w:tc>
        <w:tc>
          <w:tcPr>
            <w:tcW w:w="6908" w:type="dxa"/>
          </w:tcPr>
          <w:p w14:paraId="49A40330"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r w:rsidR="00F95910" w14:paraId="341B2E31" w14:textId="77777777">
        <w:tc>
          <w:tcPr>
            <w:tcW w:w="1948" w:type="dxa"/>
          </w:tcPr>
          <w:p w14:paraId="177DA15C" w14:textId="77777777" w:rsidR="00F95910" w:rsidRDefault="00000000">
            <w:r>
              <w:t>Nowa funkcja</w:t>
            </w:r>
          </w:p>
        </w:tc>
        <w:tc>
          <w:tcPr>
            <w:tcW w:w="6908" w:type="dxa"/>
          </w:tcPr>
          <w:p w14:paraId="49A40330" w14:textId="77777777" w:rsidR="00F95910" w:rsidRDefault="00000000">
            <w:r>
              <w:t>Podsumowanie zmian między wersjami oferty (Moje oferty, Oferty w panelu Administratora, Weryfikacja). Przy numerze każdej wersji (offer_X.N) - także najnowszej - krótka etykieta z maks. 3 najważniejszymi zmianami, np. „HDG 2×1250 +5 t, Wartość oferty +6 082 €” (kolejność: pozycje i tonaż &gt; marża &gt; wartość oferty &gt; reszta, pozostałe jako „+N więcej”); pierwsza wersja: „bazowa · N poz. · X t”. Kliknięcie rozwija pełną listę stara → nowa wartość: dodane/usunięte pozycje, tonaż, marża w punktach procentowych, cena końcowa, transport i dopłaty, trasa, termin płatności, ważność, waluta i kurs, dane klienta, nazwa oferty - oraz autora wersji i zdarzenie: edycja, edycja przez recenzenta, renegocjacja po przegranej. Kierunek zmian ceny jest oznaczony kolorem: wzrost marży, ceny końcowej lub wartości oferty - zielona strzałka ▲, spadek - czerwona ▼ (tonaż i warunki bez koloru). Zmiany samego formularza kalkulatora (bez wpływu na ofertę) są pomijane. Przykład: recenzent podnosi marżę 8% → 9,5% (+1,5 pp) przy 15 t i bazie 1 080 €/t (PGL 1 000 + huta 80) - cena końcowa 1 217 → 1 233 €/t (+16 €/t), wartość oferty 18 246 € → 18 489 € (+243 €).</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Nowe szablony oferty PDF zgodne z identyfikacją wizualną ArcelorMittal (uwagi Karoliny Cisowskiej z 05.10.2026): przygotowano 11 wariantów układu (pionowe i poziome, folder „Szablony PDF/Template 1–11”), każdy w dwóch wersjach - oferta 2-pozycyjna oraz 9-pozycyjna. We wszystkich logo ArcelorMittal w kolorze, z nazwą spółki, w prawym górnym rogu, font Gilroy (osadzony w PDF) i kolorystyka AM (pomarańcz #FF3700, grafit #414141, gradient marki). Nazwa spółki to „ArcelorMittal” - narzędzie jest planowane globalnie. Treść oferty bez zmian (te same kolumny, warunki i podpisy); zmienia się tylko wygląd. Szablony wysłane do akceptacji - po wyborze wariantu zostanie on przeniesiony do generatora PDF w aplikacji.</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Stopka oferty PDF: „Ważność oferty: 24h / 48h / Nh od daty wystawienia” zgodnie z wyborem w kalkulatorze oraz „Termin płatności: N dni od otrzymania faktury.” z terminu klienta (PL/EN/CS/DE). Linijka okresu ważności oferty (od - do) bez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Warianty brandingu całej aplikacji zgodne z identyfikacją wizualną ArcelorMittal (kontynuacja uwag Karoliny Cisowskiej z 05.10.2026, tym razem dla całego serwisu, nie tylko PDF): przygotowano 11 wariantów motywu do wyboru (folder „Branding - warianty”) obok obecnego wyglądu (V0): V1 Classic Light i V1 Classic Dark (ciepła biel / ciemny, oficjalne kolory logo, cienki pasek gradientu), V2 Gradient Header (pełny gradient AM w pasku aplikacji), V3 Midnight (ciemny grafit, gradient tylko na przyciskach i aktywnych elementach), V4 Plum Executive (fiolet, nawigacja w formie pigułek), V5 Steel Industrial (grafit i stal, ostre rogi, pomarańczowy akcent), V6 Aurora Light (pastelowy gradient AM za matowymi kartami), V7 Swiss Mono (biel i czerń, kolor marki tylko w logo i przycisku głównym), V8 Ember Dark (prawie czarne tło z gradientem w pasku), V9 Warm Sand (kremowy, ciepły pomarańcz) i V10 Magenta Bold (magentowy pasek nagłówka). Każdy wariant pokazany na czterech ekranach (logowanie, kalkulator, oferty, analityka) w widoku komputerowym i telefonicznym, wraz z zestawieniem zbiorczym (00-przeglad-wszystkich.png) i osobnym plikiem CSS na wariant. We wszystkich logo ArcelorMittal w prawym górnym rogu (wersja kolorowa lub biała, zależnie od tła). Funkcjonalność aplikacji bez zmian - zmienia się wyłącznie wygląd. Warianty wysłane do wyboru przez Łukasza - po decyzji wybrany motyw zostanie wdrożony w aplikacji.</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lastRenderedPageBreak/>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Po akceptacji brandingu i wyborze jednego z 11 szablonów PDF: przeniesienie go do generatora PDF w aplikacji (4 języki oferty). Po wyborze jednego z 11 wariantów motywu całej strony: wdrożenie go w aplikacji (jasny / ciemny, wysoki kontrast, widok telefonu).</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7360C" w14:textId="77777777" w:rsidR="00216AF4" w:rsidRDefault="00216AF4">
      <w:pPr>
        <w:spacing w:after="0" w:line="240" w:lineRule="auto"/>
      </w:pPr>
      <w:r>
        <w:separator/>
      </w:r>
    </w:p>
  </w:endnote>
  <w:endnote w:type="continuationSeparator" w:id="0">
    <w:p w14:paraId="729059CA" w14:textId="77777777" w:rsidR="00216AF4" w:rsidRDefault="00216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C183" w14:textId="77777777" w:rsidR="00216AF4" w:rsidRDefault="00216AF4">
      <w:pPr>
        <w:spacing w:after="0" w:line="240" w:lineRule="auto"/>
      </w:pPr>
      <w:r>
        <w:separator/>
      </w:r>
    </w:p>
  </w:footnote>
  <w:footnote w:type="continuationSeparator" w:id="0">
    <w:p w14:paraId="1BA9D26C" w14:textId="77777777" w:rsidR="00216AF4" w:rsidRDefault="00216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15</Pages>
  <Words>3344</Words>
  <Characters>20067</Characters>
  <Application>Microsoft Office Word</Application>
  <DocSecurity>0</DocSecurity>
  <Lines>167</Lines>
  <Paragraphs>46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38</cp:revision>
  <dcterms:created xsi:type="dcterms:W3CDTF">2026-07-08T11:11:00Z</dcterms:created>
  <dcterms:modified xsi:type="dcterms:W3CDTF">2026-10-13T07:13:00Z</dcterms:modified>
  <cp:category/>
</cp:coreProperties>
</file>