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2.1</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7101CF7A" w:rsidR="00BA4AAF" w:rsidRDefault="00F316DB">
            <w:r>
              <w:t>1</w:t>
            </w:r>
            <w:r w:rsidR="00182A87">
              <w:t>3</w:t>
            </w:r>
            <w:r>
              <w:t xml:space="preserve">.10.2026 - </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7E4917A5" w:rsidR="00BA4AAF" w:rsidRDefault="00BA4AAF"/>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2.1</w:t>
            </w:r>
          </w:p>
        </w:tc>
        <w:tc>
          <w:tcPr>
            <w:tcW w:w="2420" w:type="dxa"/>
          </w:tcPr>
          <w:p w14:paraId="3408EBC3" w14:textId="6942E1BB" w:rsidR="00DF56CB" w:rsidRDefault="00F316DB">
            <w:r>
              <w:t>1</w:t>
            </w:r>
            <w:r w:rsidR="00182A87">
              <w:t>3</w:t>
            </w:r>
            <w:r>
              <w:t xml:space="preserve">.10.2026 - </w:t>
            </w:r>
          </w:p>
        </w:tc>
        <w:tc>
          <w:tcPr>
            <w:tcW w:w="1550" w:type="dxa"/>
          </w:tcPr>
          <w:p w14:paraId="55495847" w14:textId="542D1DA6" w:rsidR="00DF56CB" w:rsidRDefault="00DF56CB"/>
        </w:tc>
        <w:tc>
          <w:tcPr>
            <w:tcW w:w="3678" w:type="dxa"/>
          </w:tcPr>
          <w:p w14:paraId="79CC7DB9" w14:textId="2291F9DF" w:rsidR="00DF56CB" w:rsidRDefault="00DF56CB">
            <w:r>
              <w:t>(w trakcie)</w:t>
            </w:r>
          </w:p>
        </w:tc>
      </w:tr>
      <w:tr w:rsidR="00DF56CB" w14:paraId="0EB5D81E" w14:textId="77777777">
        <w:tc>
          <w:tcPr>
            <w:tcW w:w="1208" w:type="dxa"/>
          </w:tcPr>
          <w:p w14:paraId="1056FB1B" w14:textId="77777777" w:rsidR="00DF56CB" w:rsidRDefault="00000000">
            <w:r>
              <w:t>2.0</w:t>
            </w:r>
          </w:p>
        </w:tc>
        <w:tc>
          <w:tcPr>
            <w:tcW w:w="2420" w:type="dxa"/>
          </w:tcPr>
          <w:p w14:paraId="73EBE763" w14:textId="77777777" w:rsidR="00DF56CB" w:rsidRDefault="00F316DB">
            <w:r>
              <w:t>2</w:t>
            </w:r>
            <w:r w:rsidR="00E3624A">
              <w:t>4</w:t>
            </w:r>
            <w:r>
              <w:t xml:space="preserve">.09.2026 - </w:t>
            </w:r>
            <w:r w:rsidR="00A05E03">
              <w:t>13.10.2026</w:t>
            </w:r>
          </w:p>
        </w:tc>
        <w:tc>
          <w:tcPr>
            <w:tcW w:w="1550" w:type="dxa"/>
          </w:tcPr>
          <w:p w14:paraId="3C18C417" w14:textId="77777777" w:rsidR="00DF56CB" w:rsidRDefault="00A05E03">
            <w:r>
              <w:t>13.10.2026</w:t>
            </w:r>
          </w:p>
        </w:tc>
        <w:tc>
          <w:tcPr>
            <w:tcW w:w="3678" w:type="dxa"/>
          </w:tcPr>
          <w:p w14:paraId="1D277B67" w14:textId="77777777" w:rsidR="00DF56CB" w:rsidRDefault="00DF56CB">
            <w:r>
              <w:t xml:space="preserve">Panel Starszego handlowca: rozwijana tabela pozycji z cenami oraz lista pozycji poniżej wytycznych (marża / PGL). Walidacja (zatwierdź / odrzuć) także z poziomu kalkulatora. Powód odrzucenia oferty przez klienta jako lista rozwijana (z opcją „Inne” i własnym tekstem). Statystyki powodów odrzucenia w panelu Analiza. Przebudowa uprawnień: konfigurowalne flowy, role, poziomy hierarchii, reguły walidacji z symulatorem i macierz widoczności (panel „Uprawnienia”). Kafelki statusów w panelu weryfikującego, kolumna PGL i marża % w zestawieniu, skrót do ustawień dla administratora, walidacja spójności pozycji oferty po stronie serwera. Oferty wysłane da się otworzyć w trybie podglądu; ofertę przegraną można renegocjować jako kolejną wersję tej samej oferty, a analityka liczy całą renegocjację jako jedną ofertę (wynik ostatniej rundy). Odpowiedzi biznesu do modelu </w:t>
            </w:r>
            <w:r>
              <w:lastRenderedPageBreak/>
              <w:t>uprawnień wdrożone: Head of Projects zastępuje N+1 i N+2, zastępstwo wyższego poziomu, wysyłka tylko przez twórcę oferty, zatwierdzenie ważne 48 h, reguła marży N+2 = 2,1% lub mniej. Widok piramidy w panelu Handlowcy pokazuje zależności: kto komu podlega i kto jest w czyim zespole. Edytowalny cennik dopłat osobno dla każdego typu stali (panel administratora, historia zmian). Odstęp tysięcy (1 000 000) we wszystkich kwotach i tonażach w aplikacji oraz w PDF. Lista powodów przegranej prowadzona przez administratora (panel „Powody przegranej”, cztery języki, archiwizacja), wybór powodu przy przegranej obowiązkowy.</w:t>
            </w:r>
          </w:p>
        </w:tc>
      </w:tr>
      <w:tr w:rsidR="00DF56CB" w14:paraId="4D5F9E99" w14:textId="77777777">
        <w:tc>
          <w:tcPr>
            <w:tcW w:w="1208" w:type="dxa"/>
          </w:tcPr>
          <w:p w14:paraId="054DBCA6" w14:textId="77777777" w:rsidR="00DF56CB" w:rsidRDefault="00000000">
            <w:r>
              <w:lastRenderedPageBreak/>
              <w:t>1.9</w:t>
            </w:r>
          </w:p>
        </w:tc>
        <w:tc>
          <w:tcPr>
            <w:tcW w:w="2420" w:type="dxa"/>
          </w:tcPr>
          <w:p w14:paraId="124AED1F" w14:textId="77777777" w:rsidR="00DF56CB" w:rsidRDefault="00F316DB">
            <w:r>
              <w:t>21.09.2026 -</w:t>
            </w:r>
            <w:r w:rsidR="00AF3020">
              <w:t xml:space="preserve"> 24.09.2026</w:t>
            </w:r>
          </w:p>
        </w:tc>
        <w:tc>
          <w:tcPr>
            <w:tcW w:w="1550" w:type="dxa"/>
          </w:tcPr>
          <w:p w14:paraId="5F77764E" w14:textId="77777777" w:rsidR="00DF56CB" w:rsidRDefault="00AF3020">
            <w:r>
              <w:t>24.09.2026</w:t>
            </w:r>
          </w:p>
        </w:tc>
        <w:tc>
          <w:tcPr>
            <w:tcW w:w="3678" w:type="dxa"/>
          </w:tcPr>
          <w:p w14:paraId="05028972" w14:textId="77777777" w:rsidR="00DF56CB" w:rsidRDefault="00DF56CB">
            <w:r>
              <w:t xml:space="preserve">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zamiast w osobnym dużym czerwonym bloku pod nazwą firmy. W Zestawieniu dodano widoczną </w:t>
            </w:r>
            <w:r>
              <w:lastRenderedPageBreak/>
              <w:t>plakietkę z kosztem transportu pozycji z listy i naprawiono zaniżanie stawki transportu €/t na już dodanych pozycjach, powodowane przez niedodany jeszcze szkic kolejnej pozycji w formularzu kalkulatora. Poprawiono też responsywność całej aplikacji na wąskich ekranach telefonu w orientacji pionowej (ok. 375 px szerokości) - nagłówki i nawigację, kalkulator, listę „Moje oferty”, panele administratora oraz panel Analiza i Starszego handlowca; widok na komputerze i w poziomej orientacji telefonu pozostaje bez zmian. Zamieniono też termin płatności w kalkulatorze i panelu klientów z pary pól dat na przyciski gotowych wartości dni (0/</w:t>
            </w:r>
            <w:r w:rsidR="003033AA">
              <w:t>2/</w:t>
            </w:r>
            <w:r>
              <w:t>15/30/45/60/90 lub własna liczba)</w:t>
            </w:r>
            <w:r w:rsidR="003033AA">
              <w:t xml:space="preserve"> </w:t>
            </w:r>
            <w:r>
              <w:t xml:space="preserve">i naprawiono zawijanie się symbolu waluty w PDF przy bardzo dużych kwotach (powyżej 1 000 000 €). Okres ważności oferty dostał te same gotowe przyciski (Q1–Q4/„Ten 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animacją zamiast skokowo. Panel „Analiza” zyskał zamykalne plakietki aktywnego zawężenia </w:t>
            </w:r>
            <w:r>
              <w:lastRenderedPageBreak/>
              <w:t>(handlowiec/typ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 Dodano przycisk „2” w wyborze terminu płatności (kalkulator, panel „Klienci”), tak by domyślny 2-dniowy termin nowej oferty pokazywał się jako gotowy wybór zamiast wartości wpisanej w polu „Inny”. Panel „Handlowcy” w Analizie zyskał też przełącznik filtrujący ranking wyników wg roli (Wszystko/młodszy handlowiec/starszy handlowiec/administrator), z przeliczeniem udziałów procentowych i wiersza „Razem” dla zawężonej grupy. Dodano też w kalkulatorze krótką plakietkę informacyjną przy wyborze okresu ważności oferty na kwartał inny niż bieżący, gdy PGL zaplanowane na ten kwartał różni się od aktualnie obowiązującego, tak by handlowiec od razu widział, że wycena jedzie na innej cenie wsadu. Dodano też podstawową infrastrukturę PWA (manifest, ikony, service worker) z plakietką instalacji aplikacji widoczną wyłącznie na ekranie logowania na telefonach z Androidem, znikającą automatycznie po zalogowaniu. Nagłówek sekcji „Trasa i transport” w Zestawieniu wyróżniono pogrubieniem i kolorem akcentu, żeby było wyraźniej widać, że to klikalny przycisk rozwijający panel.</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r>
              <w:t xml:space="preserve">Dodano opcjonalny komentarz do pozycji z niezerową dopłatą dodatkową w kalkulatorze. Pole komentarza oraz osobny checkbox „Dołącz komentarz do PDF” pojawiają się dopiero po wpisaniu wartości </w:t>
            </w:r>
            <w:r>
              <w:lastRenderedPageBreak/>
              <w:t xml:space="preserve">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poniżej bazy i marży poniżej minimum stały się też wyraźnie widoczne - zamiast drobnego żółtego tekstu </w:t>
            </w:r>
            <w:r>
              <w:lastRenderedPageBreak/>
              <w:t xml:space="preserve">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w:t>
            </w:r>
            <w:r w:rsidR="00B07223">
              <w:t>Łukasza</w:t>
            </w:r>
            <w:r>
              <w:t xml:space="preserve">.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PDF oferty: podsumowanie sumy przestało powtarzać się po każdej stronie tabeli pozycji (pokazuje się </w:t>
            </w:r>
            <w:r>
              <w:lastRenderedPageBreak/>
              <w:t>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t>
            </w:r>
            <w:r>
              <w:lastRenderedPageBreak/>
              <w:t>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w:t>
            </w:r>
            <w:r>
              <w:lastRenderedPageBreak/>
              <w:t xml:space="preserve">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w:t>
            </w:r>
            <w:r>
              <w:lastRenderedPageBreak/>
              <w:t>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w:t>
            </w:r>
            <w:r>
              <w:lastRenderedPageBreak/>
              <w:t>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w:t>
            </w:r>
            <w:r>
              <w:lastRenderedPageBreak/>
              <w:t>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lastRenderedPageBreak/>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2.1</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341B2E31" w14:textId="77777777">
        <w:tc>
          <w:tcPr>
            <w:tcW w:w="1948" w:type="dxa"/>
          </w:tcPr>
          <w:p w14:paraId="177DA15C" w14:textId="77777777" w:rsidR="00F95910" w:rsidRDefault="00000000">
            <w:r>
              <w:t>Zmiana</w:t>
            </w:r>
          </w:p>
        </w:tc>
        <w:tc>
          <w:tcPr>
            <w:tcW w:w="6908" w:type="dxa"/>
          </w:tcPr>
          <w:p w14:paraId="49A40330" w14:textId="77777777" w:rsidR="00F95910" w:rsidRDefault="00000000">
            <w:r>
              <w:t>Autor każdej wersji oferty: nowa kolumna offers.created_by (migracja 033_offer_version_author.sql). Zapis nowej oferty, kopii i każdej edycji zapamiętuje, kto ją wykonał - dotąd edycja recenzenta zapisywała się pod właścicielem oferty i autor zmiany ginął. Wersje sprzed migracji nie mają autora. Wdrożenie: migrację 033 uruchomić PRZED wdrożeniem kodu (bez niej listy ofert i zapis zwracają błąd).</w:t>
            </w:r>
          </w:p>
        </w:tc>
      </w:tr>
    </w:tbl>
    <w:p w14:paraId="669D4AD3" w14:textId="77777777" w:rsidR="00BA4AAF" w:rsidRDefault="00250F91">
      <w:pPr>
        <w:spacing w:before="240" w:after="40"/>
      </w:pPr>
      <w:r>
        <w:rPr>
          <w:b/>
          <w:color w:val="2B57A6"/>
          <w:sz w:val="26"/>
        </w:rPr>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79323DE6" w14:textId="77777777">
        <w:tc>
          <w:tcPr>
            <w:tcW w:w="1948" w:type="dxa"/>
          </w:tcPr>
          <w:p w14:paraId="7130A520" w14:textId="77777777" w:rsidR="00F95910" w:rsidRDefault="00F95910"/>
        </w:tc>
        <w:tc>
          <w:tcPr>
            <w:tcW w:w="6908" w:type="dxa"/>
          </w:tcPr>
          <w:p w14:paraId="723BBF99" w14:textId="77777777" w:rsidR="00F95910" w:rsidRDefault="00F95910"/>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8"/>
        <w:gridCol w:w="6908"/>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341B2E31" w14:textId="77777777">
        <w:tc>
          <w:tcPr>
            <w:tcW w:w="1948" w:type="dxa"/>
          </w:tcPr>
          <w:p w14:paraId="177DA15C" w14:textId="77777777" w:rsidR="00F95910" w:rsidRDefault="00000000">
            <w:r>
              <w:t>Nowa funkcja</w:t>
            </w:r>
          </w:p>
        </w:tc>
        <w:tc>
          <w:tcPr>
            <w:tcW w:w="6908" w:type="dxa"/>
          </w:tcPr>
          <w:p w14:paraId="49A40330" w14:textId="77777777" w:rsidR="00F95910" w:rsidRDefault="00000000">
            <w:r>
              <w:t>Podgląd pozycji oferty w panelu Administratora (Oferty): pod numerem oferty przycisk „📦 N pozycji” rozwija pod wierszem tabelę pozycji (gatunek / wymiary, typ, cena, tonaż, wartość) - tak jak w Moich ofertach i panelu Starszego handlowca. Do wszystkich trzech tabel pozycji (Moje oferty, Starszy handlowiec, Administrator) dodano kolumny PGL (€/t) oraz Marża (€/t i %). Kwoty pokazywane są w walucie i po kursie zapisanym w ofercie; dla starszych pozycji bez zapisanego % marży procent wyliczany jest jak w kalkulatorze: marża / (PGL + dopłaty huty). Trzy dotąd skopiowane tabele zastąpiono jednym wspólnym komponentem.</w:t>
            </w:r>
          </w:p>
        </w:tc>
      </w:tr>
      <w:tr w:rsidR="00F95910" w14:paraId="341B2E31" w14:textId="77777777">
        <w:tc>
          <w:tcPr>
            <w:tcW w:w="1948" w:type="dxa"/>
          </w:tcPr>
          <w:p w14:paraId="177DA15C" w14:textId="77777777" w:rsidR="00F95910" w:rsidRDefault="00000000">
            <w:r>
              <w:t>Nowa funkcja</w:t>
            </w:r>
          </w:p>
        </w:tc>
        <w:tc>
          <w:tcPr>
            <w:tcW w:w="6908" w:type="dxa"/>
          </w:tcPr>
          <w:p w14:paraId="49A40330" w14:textId="77777777" w:rsidR="00F95910" w:rsidRDefault="00000000">
            <w:r>
              <w:t>Podsumowanie zmian między wersjami oferty (Moje oferty, Oferty w panelu Administratora, Weryfikacja). Przy numerze każdej wersji (offer_X.N) - także najnowszej - krótka etykieta z maks. 3 najważniejszymi zmianami, np. „HDG 2×1250 +5 t, Wartość oferty +6 082 €” (kolejność: pozycje i tonaż &gt; marża &gt; wartość oferty &gt; reszta, pozostałe jako „+N więcej”); pierwsza wersja: „bazowa · N poz. · X t”. Kliknięcie rozwija pełną listę stara → nowa wartość: dodane/usunięte pozycje, tonaż, marża w punktach procentowych, cena końcowa, transport i dopłaty, trasa, termin płatności, ważność, waluta i kurs, dane klienta, nazwa oferty - oraz autora wersji i zdarzenie: edycja, edycja przez recenzenta, renegocjacja po przegranej. Kierunek zmian ceny jest oznaczony kolorem: wzrost marży, ceny końcowej lub wartości oferty - zielona strzałka ▲, spadek - czerwona ▼ (tonaż i warunki bez koloru). Zmiany samego formularza kalkulatora (bez wpływu na ofertę) są pomijane. Przykład: recenzent podnosi marżę 8% → 9,5% (+1,5 pp) przy 15 t i bazie 1 080 €/t (PGL 1 000 + huta 80) - cena końcowa 1 217 → 1 233 €/t (+16 €/t), wartość oferty 18 246 € → 18 489 € (+243 €).</w:t>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2E672F3A" w14:textId="77777777">
        <w:tc>
          <w:tcPr>
            <w:tcW w:w="1948" w:type="dxa"/>
          </w:tcPr>
          <w:p w14:paraId="11C7DAE8" w14:textId="77777777" w:rsidR="00F95910" w:rsidRDefault="00F95910">
            <w:r>
              <w:t>Zmiana</w:t>
            </w:r>
          </w:p>
        </w:tc>
        <w:tc>
          <w:tcPr>
            <w:tcW w:w="6908" w:type="dxa"/>
          </w:tcPr>
          <w:p w14:paraId="3B25A63C" w14:textId="77777777" w:rsidR="00F95910" w:rsidRDefault="00F95910">
            <w:r>
              <w:t>Nowe szablony oferty PDF zgodne z identyfikacją wizualną ArcelorMittal (uwagi Karoliny Cisowskiej z 05.10.2026): przygotowano 11 wariantów układu (pionowe i poziome, folder „Szablony PDF/Template 1–11”), każdy w dwóch wersjach - oferta 2-pozycyjna oraz 9-pozycyjna. We wszystkich logo ArcelorMittal w kolorze, z nazwą spółki, w prawym górnym rogu, font Gilroy (osadzony w PDF) i kolorystyka AM (pomarańcz #FF3700, grafit #414141, gradient marki). Nazwa spółki to „ArcelorMittal” - narzędzie jest planowane globalnie. Treść oferty bez zmian (te same kolumny, warunki i podpisy); zmienia się tylko wygląd. Szablony wysłane do akceptacji - po wyborze wariantu zostanie on przeniesiony do generatora PDF w aplikacji.</w:t>
            </w:r>
          </w:p>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0"/>
        <w:gridCol w:w="6896"/>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231969BD" w14:textId="77777777">
        <w:tc>
          <w:tcPr>
            <w:tcW w:w="1948" w:type="dxa"/>
          </w:tcPr>
          <w:p w14:paraId="478B9F55" w14:textId="77777777" w:rsidR="00F95910" w:rsidRDefault="00F95910">
            <w:r>
              <w:t>Zmiana</w:t>
            </w:r>
          </w:p>
        </w:tc>
        <w:tc>
          <w:tcPr>
            <w:tcW w:w="6908" w:type="dxa"/>
          </w:tcPr>
          <w:p w14:paraId="526C62DC" w14:textId="77777777" w:rsidR="00F95910" w:rsidRDefault="00F95910">
            <w:r>
              <w:t>Warianty brandingu całej aplikacji zgodne z identyfikacją wizualną ArcelorMittal (kontynuacja uwag Karoliny Cisowskiej z 05.10.2026, tym razem dla całego serwisu, nie tylko PDF): przygotowano 11 wariantów motywu do wyboru (folder „Branding - warianty”) obok obecnego wyglądu (V0): V1 Classic Light i V1 Classic Dark (ciepła biel / ciemny, oficjalne kolory logo, cienki pasek gradientu), V2 Gradient Header (pełny gradient AM w pasku aplikacji), V3 Midnight (ciemny grafit, gradient tylko na przyciskach i aktywnych elementach), V4 Plum Executive (fiolet, nawigacja w formie pigułek), V5 Steel Industrial (grafit i stal, ostre rogi, pomarańczowy akcent), V6 Aurora Light (pastelowy gradient AM za matowymi kartami), V7 Swiss Mono (biel i czerń, kolor marki tylko w logo i przycisku głównym), V8 Ember Dark (prawie czarne tło z gradientem w pasku), V9 Warm Sand (kremowy, ciepły pomarańcz) i V10 Magenta Bold (magentowy pasek nagłówka). Każdy wariant pokazany na czterech ekranach (logowanie, kalkulator, oferty, analityka) w widoku komputerowym i telefonicznym, wraz z zestawieniem zbiorczym (00-przeglad-wszystkich.png) i osobnym plikiem CSS na wariant. We wszystkich logo ArcelorMittal w prawym górnym rogu (wersja kolorowa lub biała, zależnie od tła). Funkcjonalność aplikacji bez zmian - zmienia się wyłącznie wygląd. Warianty wysłane do wyboru przez Łukasza - po decyzji wybrany motyw zostanie wdrożony w aplikacji.</w:t>
            </w:r>
          </w:p>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20FA4D01" w14:textId="77777777" w:rsidR="00350740" w:rsidRPr="00C2208F" w:rsidRDefault="006F108A">
      <w:pPr>
        <w:pStyle w:val="Listapunktowana"/>
      </w:pPr>
      <w:r>
        <w:t>Wartość i marża oferty są nadal wyliczane w przeglądarce handlowca; serwer sprawdza kompletność i spójność kwot w pozycjach (cena i wartość muszą wynikać z PGL, dopłat, marży i tonażu), ale nie przelicza ich od nowa według aktualnych ustawień. Pełne przeliczenie cen po stronie serwera - do zrobienia.</w:t>
      </w:r>
    </w:p>
    <w:p w14:paraId="3D68F4EF" w14:textId="77777777" w:rsidR="00350740" w:rsidRPr="00C2208F" w:rsidRDefault="006F108A">
      <w:pPr>
        <w:pStyle w:val="Listapunktowana"/>
      </w:pPr>
      <w:r>
        <w:t>Brak w aplikacji struktury oddziałów i regionów - kolumny „Oferty oddziału” i „Oferty regionu” w macierzy widoczności działają obecnie jak „Oferty zespołu”, a oferty do walidacji trafiają do wspólnej kolejki danego poziomu we flow (ustawienie w panelu Uprawnienia pozwala zamiast tego pokazać cały flow).</w:t>
      </w:r>
    </w:p>
    <w:p w14:paraId="7E8938EE" w14:textId="77777777" w:rsidR="00350740" w:rsidRPr="00C2208F" w:rsidRDefault="006F108A">
      <w:pPr>
        <w:pStyle w:val="Listapunktowana"/>
      </w:pPr>
      <w:r>
        <w:t>Struktura oddziałów i regionów (kto zatwierdza ofertę konkretnego handlowca, zakres widoczności oddziału / regionu) czeka na Excel od biznesu. Pozostałe pytania do formularza uprawnień zostały rozstrzygnięte i wdrożone („Historia wersji oraz md/questions_for_lukasz.md”).</w:t>
      </w:r>
    </w:p>
    <w:p w14:paraId="715A06EE" w14:textId="77777777" w:rsidR="00350740" w:rsidRPr="00C2208F" w:rsidRDefault="006F108A">
      <w:pPr>
        <w:pStyle w:val="Listapunktowana"/>
      </w:pPr>
      <w:r>
        <w:t>Ocena reguł uruchamia kilka zapytań równolegle na jednym połączeniu z bazą w transakcji - działa poprawnie, ale sterownik pg zgłasza ostrzeżenie o wycofaniu; do przebudowy przed aktualizacją sterownika do wersji 9</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1.9)</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25C8DE0F" w14:textId="77777777" w:rsidR="00A14329" w:rsidRDefault="00250F91">
      <w:pPr>
        <w:pStyle w:val="Listapunktowana"/>
      </w:pPr>
      <w:r>
        <w:t>Uzupełnienie przez biznes progów oznaczonych „do uzupełnienia” (marża N+3, obniżenie bazy N+2 / N+3, ważność N+3) w panelu Uprawnienia oraz testy end-to-end nowego obiegu walidacji po wdrożeniu na produkcję.</w:t>
      </w:r>
    </w:p>
    <w:p w14:paraId="25FBBA32" w14:textId="77777777" w:rsidR="00A14329" w:rsidRDefault="00250F91">
      <w:pPr>
        <w:pStyle w:val="Listapunktowana"/>
      </w:pPr>
      <w:r>
        <w:lastRenderedPageBreak/>
        <w:t>Po otrzymaniu Excela z oddziałami i regionami: zbudowanie struktury organizacyjnej w aplikacji i kierowanie ofert do właściwego kierownika zamiast wspólnej kolejki.</w:t>
      </w:r>
    </w:p>
    <w:p w14:paraId="2CDB85C1" w14:textId="643D0176" w:rsidR="00BA4AAF" w:rsidRDefault="00BA4AAF" w:rsidP="00150A8E">
      <w:pPr>
        <w:pStyle w:val="Listapunktowana"/>
        <w:numPr>
          <w:ilvl w:val="0"/>
          <w:numId w:val="0"/>
        </w:numPr>
        <w:pBdr>
          <w:bottom w:val="single" w:sz="12" w:space="4" w:color="2B57A6"/>
        </w:pBdr>
        <w:spacing w:before="400"/>
        <w:ind w:left="360"/>
      </w:pPr>
      <w:r>
        <w:t>Po akceptacji brandingu i wyborze jednego z 11 szablonów PDF: przeniesienie go do generatora PDF w aplikacji (4 języki oferty). Po wyborze jednego z 11 wariantów motywu całej strony: wdrożenie go w aplikacji (jasny / ciemny, wysoki kontrast, widok telefonu).</w:t>
      </w: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7360C" w14:textId="77777777" w:rsidR="00216AF4" w:rsidRDefault="00216AF4">
      <w:pPr>
        <w:spacing w:after="0" w:line="240" w:lineRule="auto"/>
      </w:pPr>
      <w:r>
        <w:separator/>
      </w:r>
    </w:p>
  </w:endnote>
  <w:endnote w:type="continuationSeparator" w:id="0">
    <w:p w14:paraId="729059CA" w14:textId="77777777" w:rsidR="00216AF4" w:rsidRDefault="00216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FC183" w14:textId="77777777" w:rsidR="00216AF4" w:rsidRDefault="00216AF4">
      <w:pPr>
        <w:spacing w:after="0" w:line="240" w:lineRule="auto"/>
      </w:pPr>
      <w:r>
        <w:separator/>
      </w:r>
    </w:p>
  </w:footnote>
  <w:footnote w:type="continuationSeparator" w:id="0">
    <w:p w14:paraId="1BA9D26C" w14:textId="77777777" w:rsidR="00216AF4" w:rsidRDefault="00216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2A87"/>
    <w:rsid w:val="00183135"/>
    <w:rsid w:val="00216AF4"/>
    <w:rsid w:val="00250F91"/>
    <w:rsid w:val="0029639D"/>
    <w:rsid w:val="002A13CF"/>
    <w:rsid w:val="002A1D78"/>
    <w:rsid w:val="002B7A05"/>
    <w:rsid w:val="002D2E3D"/>
    <w:rsid w:val="002E60D7"/>
    <w:rsid w:val="002F24E4"/>
    <w:rsid w:val="002F2EA2"/>
    <w:rsid w:val="003033AA"/>
    <w:rsid w:val="00326F90"/>
    <w:rsid w:val="00350740"/>
    <w:rsid w:val="003626D2"/>
    <w:rsid w:val="00387EEC"/>
    <w:rsid w:val="00391B47"/>
    <w:rsid w:val="003A54B5"/>
    <w:rsid w:val="003B0858"/>
    <w:rsid w:val="003C010B"/>
    <w:rsid w:val="003D389F"/>
    <w:rsid w:val="00404AB3"/>
    <w:rsid w:val="00430A2A"/>
    <w:rsid w:val="00436807"/>
    <w:rsid w:val="00455D23"/>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A262F"/>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E27C7"/>
    <w:rsid w:val="009F095F"/>
    <w:rsid w:val="009F31A2"/>
    <w:rsid w:val="009F6800"/>
    <w:rsid w:val="00A02183"/>
    <w:rsid w:val="00A05E03"/>
    <w:rsid w:val="00A14329"/>
    <w:rsid w:val="00A45E1B"/>
    <w:rsid w:val="00A535C4"/>
    <w:rsid w:val="00AA1D8D"/>
    <w:rsid w:val="00AE13B0"/>
    <w:rsid w:val="00AF3020"/>
    <w:rsid w:val="00AF7590"/>
    <w:rsid w:val="00B0134B"/>
    <w:rsid w:val="00B07223"/>
    <w:rsid w:val="00B36AEF"/>
    <w:rsid w:val="00B47730"/>
    <w:rsid w:val="00B607B4"/>
    <w:rsid w:val="00B917C3"/>
    <w:rsid w:val="00BA4AAF"/>
    <w:rsid w:val="00BA6CF9"/>
    <w:rsid w:val="00BB0A80"/>
    <w:rsid w:val="00C05C5A"/>
    <w:rsid w:val="00C2208F"/>
    <w:rsid w:val="00C27768"/>
    <w:rsid w:val="00C302B7"/>
    <w:rsid w:val="00C62E5A"/>
    <w:rsid w:val="00CB0664"/>
    <w:rsid w:val="00D03A63"/>
    <w:rsid w:val="00D21B55"/>
    <w:rsid w:val="00D22FBE"/>
    <w:rsid w:val="00D2414B"/>
    <w:rsid w:val="00D7535D"/>
    <w:rsid w:val="00DC3098"/>
    <w:rsid w:val="00DF56CB"/>
    <w:rsid w:val="00DF74C1"/>
    <w:rsid w:val="00E3624A"/>
    <w:rsid w:val="00EE3BD0"/>
    <w:rsid w:val="00EF3709"/>
    <w:rsid w:val="00F05F0C"/>
    <w:rsid w:val="00F127D9"/>
    <w:rsid w:val="00F12DC9"/>
    <w:rsid w:val="00F24B1A"/>
    <w:rsid w:val="00F2758A"/>
    <w:rsid w:val="00F316DB"/>
    <w:rsid w:val="00F3442E"/>
    <w:rsid w:val="00F369F9"/>
    <w:rsid w:val="00F6747C"/>
    <w:rsid w:val="00F85151"/>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15</Pages>
  <Words>3344</Words>
  <Characters>20067</Characters>
  <Application>Microsoft Office Word</Application>
  <DocSecurity>0</DocSecurity>
  <Lines>167</Lines>
  <Paragraphs>46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38</cp:revision>
  <dcterms:created xsi:type="dcterms:W3CDTF">2026-07-08T11:11:00Z</dcterms:created>
  <dcterms:modified xsi:type="dcterms:W3CDTF">2026-10-13T07:13:00Z</dcterms:modified>
  <cp:category/>
</cp:coreProperties>
</file>