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11.09.2026 - 11.09.2026</w:t>
            </w:r>
            <w:proofErr w:type="gramStart"/>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w:t>
            </w:r>
          </w:p>
        </w:tc>
        <w:tc>
          <w:tcPr>
            <w:tcW w:w="1568" w:type="dxa"/>
          </w:tcPr>
          <w:p w14:paraId="641FD02E" w14:textId="77777777" w:rsidR="00F95910" w:rsidRDefault="00505D3B">
            <w:r>
              <w:t>11.09.2026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oraz gatunek jednorazowy) są gotowe i przetestowane lokalnie, ale nie zostały jeszcze wdrożone na środowisko produkcyjne; nie wymagają migracji bazy danych (dane trafiają do istniejącego pola JSONB „offer_data”).</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na środowisko produkcyjne</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