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1.7</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01.09.2026 - 10.09.2026</w:t>
            </w:r>
            <w:proofErr w:type="gramStart"/>
            <w:proofErr w:type="gramEnd"/>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10.09.2026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w:t>
            </w:r>
            <w:r w:rsidR="003D389F">
              <w:t>,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w:t>
            </w:r>
            <w:proofErr w:type="gramStart"/>
            <w:r>
              <w:t>id.N</w:t>
            </w:r>
            <w:proofErr w:type="gramEnd"/>
            <w:r>
              <w:t xml:space="preserve">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r>
            <w:r>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r>
            <w:r>
              <w:lastRenderedPageBreak/>
              <w:t>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w:t>
            </w:r>
            <w:proofErr w:type="gramStart"/>
            <w:r>
              <w:t>2”...</w:t>
            </w:r>
            <w:proofErr w:type="gramEnd"/>
            <w:r>
              <w:t xml:space="preserve">), a poprzednie wersje zostają widoczne pod rozwijaną listą na tej samej karcie. W tym samym okresie dodano trzy nowe typy stali obok HRS/CR/HDG: PICKLED (HRS Trawiona), TEARDROP (Blacha łezkowa) i ZM (Magnelis) - wraz z własnymi tabelami gatunków, matrycami dopłat wymiarowych i </w:t>
            </w:r>
            <w:r>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r>
            <w:r>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w:t>
            </w:r>
            <w:proofErr w:type="gramStart"/>
            <w:r>
              <w:t>bazowa  -</w:t>
            </w:r>
            <w:proofErr w:type="gramEnd"/>
            <w:r>
              <w:t xml:space="preserve">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1.7</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(w przygotowaniu)</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p w14:paraId="4CA16D7D" w14:textId="77777777" w:rsidR="00B607B4" w:rsidRDefault="00000000">
      <w:pPr>
        <w:pStyle w:val="Listapunktowana"/>
      </w:pPr>
      <w:r>
        <w:t>„Nowa oferta” — nowy zielony przycisk po prawej stronie paska nawigacji, rozpoczynający czystą kalkulację (czyści kalkulator, dane klienta i zestawienie). Kliknięcie zakładki „Kalkulator” działa teraz tak samo.</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Zmiana</w:t>
            </w:r>
          </w:p>
        </w:tc>
        <w:tc>
          <w:tcPr>
            <w:tcW w:w="6908" w:type="dxa"/>
          </w:tcPr>
          <w:p w14:paraId="4A762646" w14:textId="77777777" w:rsidR="00F95910" w:rsidRDefault="00000000">
            <w:r>
              <w:t>Transport liczony automatycznie z trasy dostawy. Handlowiec rozwija sekcję „Trasa i transport” w podsumowaniu, wpisuje adres dostawy (podpowiadany z kartoteki klienta) i otrzymuje rzeczywistą odległość drogową z magazynu. Koszt wyliczany jest według cennika przewoźnika: do 100 km – 1344 zł, 101–223 km – 1680 zł, 224–350 km – 7,50 zł/km, powyżej 350 km – 6,50 zł/km. Liczba kursów to tonaż całej oferty podzielony przez ładowność ciężarówki (21 t) i zaokrąglony w górę – nawet 1 tona oznacza opłatę za cały kurs. Koszt dzielony jest przez tonaż oferty i doliczany do ceny jako €/t, a dodanie kolejnej pozycji automatycznie przelicza transport we wszystkich pozycjach zestawienia. Elementy 13,6–15,1 m to dopłata 250 zł do każdego kursu; elementy dłuższe niż 15,1 m lub szersze niż 2,4 m wymagają wyceny indywidualnej u przewoźnika i wtedy kwotę wpisuje się ręcznie. Odległość można w każdej chwili nadpisać ręcznie, więc awaria serwisu map nigdy nie blokuje wyceny.</w:t>
            </w:r>
          </w:p>
        </w:tc>
      </w:tr>
      <w:tr w:rsidR="00F95910" w14:paraId="02EE2892" w14:textId="77777777">
        <w:tc>
          <w:tcPr>
            <w:tcW w:w="1948" w:type="dxa"/>
          </w:tcPr>
          <w:p w14:paraId="74E31303" w14:textId="77777777" w:rsidR="00F95910" w:rsidRDefault="00000000">
            <w:r>
              <w:t>Zmiana</w:t>
            </w:r>
          </w:p>
        </w:tc>
        <w:tc>
          <w:tcPr>
            <w:tcW w:w="6908" w:type="dxa"/>
          </w:tcPr>
          <w:p w14:paraId="465D435D" w14:textId="77777777" w:rsidR="00F95910" w:rsidRDefault="00000000">
            <w:r>
              <w:t>Cennik transportowy i parametry przewozu w panelu administratora. Administrator ustawia adres nadania, ładowność ciężarówki i dopłatę za elementy ponadwymiarowe oraz edytuje pasma cennika – każde pasmo ma ryczałt albo stawkę za kilometr. Stawki podaje się w złotych, dokładnie tak, jak kwotuje je przewoźnik; przeliczenie na euro idzie po kursie z ustawień i jest zamrażane w zapisanej ofercie, więc późniejsza zmiana cennika nie rusza ofert już wycenionych.</w:t>
            </w:r>
          </w:p>
        </w:tc>
      </w:tr>
      <w:tr w:rsidR="00F95910" w14:paraId="02EE2892" w14:textId="77777777">
        <w:tc>
          <w:tcPr>
            <w:tcW w:w="1948" w:type="dxa"/>
          </w:tcPr>
          <w:p w14:paraId="74E31303" w14:textId="77777777" w:rsidR="00F95910" w:rsidRDefault="00000000">
            <w:r>
              <w:t>Zmiana</w:t>
            </w:r>
          </w:p>
        </w:tc>
        <w:tc>
          <w:tcPr>
            <w:tcW w:w="6908" w:type="dxa"/>
          </w:tcPr>
          <w:p w14:paraId="465D435D" w14:textId="77777777" w:rsidR="00F95910" w:rsidRDefault="00000000">
            <w:r>
              <w:t>Blacha łezkowa (Łezka) – dopłata „Dopłata Łezka” zależy teraz od szerokości taśmy: do 1,5 m włącznie 30 €/t, powyżej 1,5 m (do 2,05 m wg tabeli klienta) 45 €/t; wcześniej była stała 30 €/t niezależnie od wymiaru. Dodano też pełną tabelę gatunków dla Łezki (S235, S275 i S355 w odmianach JR/J2 oraz AR/N, a także S355MC i S500MC – każdy również w wariancie „-CAT_A”), na podstawie danych przekazanych przez klienta; wcześniej ten typ nie miał selektora gatunku, a dopłata gatunkowa wynosiła 0. Po przejściu na zakładkę „Łezka” podpowiadany jest domyślny gatunek S235JR+N.</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p w14:paraId="2FCA2B37" w14:textId="77777777" w:rsidR="00B607B4" w:rsidRDefault="00000000">
      <w:pPr>
        <w:pStyle w:val="Listapunktowana"/>
      </w:pPr>
      <w:r>
        <w:t>Ochrona przed utratą niezapisanych zmian — przy rozpoczęciu nowej oferty, otwarciu innej oferty, przejściu na inną zakładkę oraz zamknięciu / odświeżeniu karty przeglądarki pojawia się ostrzeżenie z wyborem „Zapisz i kontynuuj” / „Odrzuć zmiany” / „Anuluj”. Okno ostrzeżenia jest tłumaczone (PL / EN / CS / DE).</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Poprawka</w:t>
            </w:r>
          </w:p>
        </w:tc>
        <w:tc>
          <w:tcPr>
            <w:tcW w:w="6908" w:type="dxa"/>
          </w:tcPr>
          <w:p w14:paraId="40FB1345" w14:textId="77777777" w:rsidR="00F95910" w:rsidRDefault="00000000">
            <w:r>
              <w:t>Zapis decyzji klienta (wygrana / przegrana / cofnięcie) na ofercie wysłanej zwracał błąd „nie udało się zapisać decyzji klienta”. Przyczyną był konflikt typów parametru w zapytaniu SQL - kolumna VARCHAR była w tym samym zapytaniu porównywana z literałem tekstowym, więc PostgreSQL odrzucał całą operację UPDATE (kod 42P08). Zapytanie rzutuje teraz ten parametr jednoznacznie na typ tekstowy. Panel „Analiza” oraz oś „decyzja klienta” należą do wersji 1.6, ale w praktyce zapis decyzji nie działał u żadnej roli aż do tej poprawki.</w:t>
            </w:r>
          </w:p>
        </w:tc>
      </w:tr>
      <w:tr w:rsidR="00F95910" w14:paraId="5951C669" w14:textId="77777777">
        <w:tc>
          <w:tcPr>
            <w:tcW w:w="1948" w:type="dxa"/>
          </w:tcPr>
          <w:p w14:paraId="73F8E489" w14:textId="77777777" w:rsidR="00F95910" w:rsidRDefault="00000000">
            <w:r>
              <w:t>Zmiana</w:t>
            </w:r>
          </w:p>
        </w:tc>
        <w:tc>
          <w:tcPr>
            <w:tcW w:w="6908" w:type="dxa"/>
          </w:tcPr>
          <w:p w14:paraId="2E644FAF" w14:textId="77777777" w:rsidR="00F95910" w:rsidRDefault="00000000">
            <w:r>
              <w:t xml:space="preserve">Nie można wysłać oferty do klienta bez danych firmy klienta (nazwa firmy oraz NIP). Ofertę nadal można utworzyć, zapisać, edytować, zduplikować i wyeksportować do PDF bez tych danych - blokowana jest wyłącznie wysyłka. Przycisk „Wyślij do klienta” jest wtedy nieaktywny, a na ofercie widać ostrzeżenie „Brak danych klienta”. Sprawdzenie jest również po stronie serwera (odpowiedź 422), więc obejmuje wszystkie trzy widoki </w:t>
            </w:r>
            <w:r>
              <w:lastRenderedPageBreak/>
              <w:t>wysyłki - Moje oferty, Panel seniora i Panel administratora.</w:t>
            </w:r>
          </w:p>
        </w:tc>
      </w:tr>
      <w:tr w:rsidR="00F95910" w14:paraId="7926EBAB" w14:textId="77777777">
        <w:tc>
          <w:tcPr>
            <w:tcW w:w="1948" w:type="dxa"/>
          </w:tcPr>
          <w:p w14:paraId="3135A22E" w14:textId="77777777" w:rsidR="00F95910" w:rsidRDefault="00000000">
            <w:r>
              <w:lastRenderedPageBreak/>
              <w:t>Zmiana</w:t>
            </w:r>
          </w:p>
        </w:tc>
        <w:tc>
          <w:tcPr>
            <w:tcW w:w="6908" w:type="dxa"/>
          </w:tcPr>
          <w:p w14:paraId="719B9819" w14:textId="77777777" w:rsidR="00F95910" w:rsidRDefault="00000000">
            <w:r>
              <w:t>Senior może zbudować zespół z juniorów. W panelu seniora oraz w panelu administratora (przy każdym seniorze) doszła sekcja „Mój zespół” do dodawania i usuwania juniorów. W panelu „Analiza” senior widzi teraz dane własne oraz wszystkich członków zespołu i może zawęzić widok do siebie albo do wybranego juniora - filtr, podział serii i zestawienie „wg handlowca” włączają się, gdy zespół jest niepusty. Zakres jest pilnowany po stronie serwera, więc ręczna zmiana adresu nie wychodzi poza zespół. Junior bez zmian - widzi wyłącznie własne dane. Dodano tabelę „team_members” (migracja 019); przynależność jest wiele-do-wielu, więc ten sam junior może być w kilku zespołach, a każdy senior liczy jego oferty u siebie raz. Zestawienia ogólnofirmowe administratora nie korzystają z zespołów, więc nic nie jest liczone podwójnie.</w:t>
            </w:r>
          </w:p>
        </w:tc>
      </w:tr>
      <w:tr w:rsidR="00F95910" w14:paraId="631A6877" w14:textId="77777777">
        <w:tc>
          <w:tcPr>
            <w:tcW w:w="1948" w:type="dxa"/>
          </w:tcPr>
          <w:p w14:paraId="652BF13C" w14:textId="77777777" w:rsidR="00F95910" w:rsidRDefault="00000000">
            <w:r>
              <w:t>Poprawka</w:t>
            </w:r>
          </w:p>
        </w:tc>
        <w:tc>
          <w:tcPr>
            <w:tcW w:w="6908" w:type="dxa"/>
          </w:tcPr>
          <w:p w14:paraId="61D27D36" w14:textId="77777777" w:rsidR="00F95910" w:rsidRDefault="00000000">
            <w:r>
              <w:t>Eksport do Excela otwiera się z kolumnami dopasowanymi do zawartości. Wcześniej każda kolumna miała domyślną szerokość około ośmiu znaków, więc użytkownik musiał ręcznie rozciągać każdą z nich, żeby odczytać gatunek, wymiary czy pozycję. Szerokość jest teraz liczona z najdłuższej wartości w kolumnie (razem z nagłówkiem) i przycinana do zakresu 8-60 znaków, żeby długi komentarz nie rozjechał arkusza. Dotyczy wszystkich trzech eksportów: zestawienia oferty w formacie KTS/GPAO (Moje oferty, Panel seniora, Panel administratora, kalkulator), panelu „Analiza” oraz historii cen bazowych PGL.</w:t>
            </w:r>
          </w:p>
        </w:tc>
      </w:tr>
      <w:tr w:rsidR="00F95910" w14:paraId="631A6877" w14:textId="77777777">
        <w:tc>
          <w:tcPr>
            <w:tcW w:w="1948" w:type="dxa"/>
          </w:tcPr>
          <w:p w14:paraId="652BF13C" w14:textId="77777777" w:rsidR="00F95910" w:rsidRDefault="00000000">
            <w:r>
              <w:t>Poprawka</w:t>
            </w:r>
          </w:p>
        </w:tc>
        <w:tc>
          <w:tcPr>
            <w:tcW w:w="6908" w:type="dxa"/>
          </w:tcPr>
          <w:p w14:paraId="61D27D36" w14:textId="77777777" w:rsidR="00F95910" w:rsidRDefault="00000000">
            <w:r>
              <w:t>Po kliknięciu „Nowa oferta” lub zakładki „Kalkulator” podczas edycji zapisanej oferty pojawiało się ostrzeżenie o niezapisanych zmianach, mimo że nowa oferta była pusta i nic w niej nie zmieniono. Kalkulator porównywał stan z nieaktualnym punktem odniesienia sprzed wyczyszczenia formularza. Punkt odniesienia jest teraz odświeżany od razu po rozpoczęciu nowej oferty, więc ostrzeżenie pojawia się dopiero, gdy handlowiec faktycznie coś wprowadzi.</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Tryb wysokiego kontrastu w nowoczesnych kolorach. Wysoki kontrast – zarówno jasny, jak i ciemny – korzysta teraz z tej samej palety barw co zwykły motyw; handlowcy zgłaszali, że wcześniejsza wersja czerń-na-bieli wygląda topornie. „Wysoki kontrast” oznacza od teraz większą i grubszą czcionkę, powiększenie widoku o 18% oraz grubsze obramowania pól, kart i wierszy podsumowania, przy zachowaniu czytelnych kolorów interfejsu. Przełącznik trybu w pasku nawigacji dostał spójny wygląd (akcent zamiast pełnej czerni). Zmiana obejmuje kalkulator, listę ofert, panel Analiza, panel seniora oraz ustawienia administratora.</w:t>
            </w:r>
          </w:p>
        </w:tc>
      </w:tr>
    </w:tbl>
    <w:p>
      <w:pPr>
        <w:pStyle w:val="Listapunktowana"/>
      </w:pPr>
      <w:r>
        <w:t>Panel „Handlowcy” (panel administratora) – rozszerzony o metryki skuteczności każdego handlowca. Na liście dwie nowe kolumny: skuteczność % (z ofert wygranych / przegranych, bez wpływu ofert bez decyzji) oraz łączny tonaż ofertowany. Pod każdym wierszem rozwijana sekcja „Wyniki” z pełnym rozbiciem: data utworzenia konta, data pierwszej i ostatniej oferty, liczba ofert wygranych / przegranych / bez decyzji, tonaż wygrany / przegrany / bez decyzji oraz średnia marża ważona tonażem. Wszystkie liczby liczone z najnowszej wersji każdej oferty (edycje nie są liczone podwójnie); dotychczasowa kolumna „Liczba ofert” pozostaje bez zmian.</w:t>
      </w:r>
    </w:p>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2341D0B1" w14:textId="77777777" w:rsidR="008C3B75" w:rsidRDefault="006F108A" w:rsidP="008C3B75">
      <w:pPr>
        <w:pStyle w:val="Listapunktowana"/>
      </w:pPr>
      <w:r>
        <w:t xml:space="preserve">Panel „Analiza” wraz z migracją „decyzja klienta” (018) jest już na środowisku produkcyjnym. Po wdrożeniu wykryto i naprawiono błąd zapisu decyzji klienta - patrz tabela „Zarządzanie </w:t>
      </w:r>
      <w:r>
        <w:lastRenderedPageBreak/>
        <w:t>ofertami” (przed poprawką funkcja nie zapisywała ani wygranej, ani przegranej). Migracje 001-017 są na produkcji od wdrożenia wersji 1.5 (17.08.2026).</w:t>
      </w:r>
    </w:p>
    <w:p w14:paraId="2EEFCB5A" w14:textId="77777777" w:rsidR="008C3B75" w:rsidRDefault="006F108A" w:rsidP="008C3B75">
      <w:pPr>
        <w:pStyle w:val="Listapunktowana"/>
      </w:pPr>
      <w:r>
        <w:t>Zespoły seniora i zakres panelu „Analiza” dla seniora (migracja 019, tabela „team_members”) - wdrożone na środowisko produkcyjne 10.09.2026 wraz z wersją 1.7 (migracja 019 uruchomiona).</w:t>
      </w:r>
    </w:p>
    <w:p w14:paraId="40590640" w14:textId="77777777" w:rsidR="008C3B75" w:rsidRDefault="006F108A" w:rsidP="008C3B75">
      <w:pPr>
        <w:pStyle w:val="Listapunktowana"/>
      </w:pPr>
      <w:r>
        <w:t>Migracja cennika transportowego (020, tabele „transport_tariff_bands” i „route_cache”) - uruchomiona na środowisku produkcyjnym 10.09.2026 wraz z wdrożeniem wersji 1.7; automatyczne liczenie transportu jest aktywne. Opcjonalny klucz Geoapify (dokładniejsze trasy dla TIR-a) nadal nie jest ustawiony – bez niego odległości liczone są na darmowych serwerach OpenStreetMap.</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