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2.0</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534754C7" w:rsidR="00BA4AAF" w:rsidRDefault="00F316DB">
            <w:r>
              <w:t>2</w:t>
            </w:r>
            <w:r w:rsidR="00E3624A">
              <w:t>4</w:t>
            </w:r>
            <w:r>
              <w:t xml:space="preserve">.09.2026 - </w:t>
            </w:r>
            <w:r w:rsidR="00A05E03">
              <w:t>13</w:t>
            </w:r>
            <w:r w:rsidR="00A05E03">
              <w:t>.</w:t>
            </w:r>
            <w:r w:rsidR="00A05E03">
              <w:t>10</w:t>
            </w:r>
            <w:r w:rsidR="00A05E03">
              <w:t>.2026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F24B1A">
            <w:r>
              <w:t>13.10.2026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2.0</w:t>
            </w:r>
          </w:p>
        </w:tc>
        <w:tc>
          <w:tcPr>
            <w:tcW w:w="2420" w:type="dxa"/>
          </w:tcPr>
          <w:p w14:paraId="3408EBC3" w14:textId="31E190D0" w:rsidR="00DF56CB" w:rsidRDefault="00F316DB">
            <w:r>
              <w:t>2</w:t>
            </w:r>
            <w:r w:rsidR="00E3624A">
              <w:t>4</w:t>
            </w:r>
            <w:r>
              <w:t xml:space="preserve">.09.2026 - </w:t>
            </w:r>
            <w:r w:rsidR="00A05E03">
              <w:t>13</w:t>
            </w:r>
            <w:r w:rsidR="00A05E03">
              <w:t>.</w:t>
            </w:r>
            <w:r w:rsidR="00A05E03">
              <w:t>10</w:t>
            </w:r>
            <w:r w:rsidR="00A05E03">
              <w:t>.2026</w:t>
            </w:r>
          </w:p>
        </w:tc>
        <w:tc>
          <w:tcPr>
            <w:tcW w:w="1550" w:type="dxa"/>
          </w:tcPr>
          <w:p w14:paraId="55495847" w14:textId="542D1DA6" w:rsidR="00DF56CB" w:rsidRDefault="00A05E03">
            <w:r>
              <w:t>13.10.2026</w:t>
            </w:r>
          </w:p>
        </w:tc>
        <w:tc>
          <w:tcPr>
            <w:tcW w:w="3678" w:type="dxa"/>
          </w:tcPr>
          <w:p w14:paraId="79CC7DB9" w14:textId="2291F9DF" w:rsidR="00DF56CB" w:rsidRDefault="00DF56CB">
            <w:r>
              <w:t>Panel Starszego handlowca: rozwijana tabela pozycji z cenami oraz lista pozycji poniżej wytycznych (marża / PGL). Walidacja (zatwierdź / odrzuć) także z poziomu kalkulatora. Powód odrzucenia oferty przez klienta jako lista rozwijana (z opcją „Inne” i własnym tekstem). Statystyki powodów odrzucenia w panelu Analiza.</w:t>
            </w:r>
          </w:p>
        </w:tc>
      </w:tr>
      <w:tr w:rsidR="00DF56CB" w14:paraId="4D5F9E99" w14:textId="77777777">
        <w:tc>
          <w:tcPr>
            <w:tcW w:w="1208" w:type="dxa"/>
          </w:tcPr>
          <w:p w14:paraId="054DBCA6" w14:textId="77777777" w:rsidR="00DF56CB" w:rsidRDefault="00000000">
            <w:r>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w:t>
            </w:r>
            <w:r>
              <w:lastRenderedPageBreak/>
              <w:t>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w:t>
            </w:r>
            <w:r>
              <w:lastRenderedPageBreak/>
              <w:t>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w:t>
            </w:r>
            <w:r>
              <w:lastRenderedPageBreak/>
              <w:t xml:space="preserve">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w:t>
            </w:r>
            <w:r>
              <w:lastRenderedPageBreak/>
              <w:t xml:space="preserve">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w:t>
            </w:r>
            <w:r>
              <w:lastRenderedPageBreak/>
              <w:t>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w:t>
            </w:r>
            <w:r>
              <w:lastRenderedPageBreak/>
              <w:t>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w:t>
            </w:r>
            <w:r>
              <w:lastRenderedPageBreak/>
              <w:t xml:space="preserve">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w:t>
            </w:r>
            <w:r>
              <w:lastRenderedPageBreak/>
              <w:t>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w:t>
            </w:r>
            <w:r>
              <w:lastRenderedPageBreak/>
              <w:t>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w:t>
            </w:r>
            <w:r>
              <w:lastRenderedPageBreak/>
              <w:t>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 xml:space="preserve">Poprawki regresji po integracji podczas Deployu (m.in. krytyczny błąd edycji pozycji, przywrócona waga arkusza), ujednolicenie generowania PDF na wersję serwerową, zamknięcie </w:t>
            </w:r>
            <w:r>
              <w:lastRenderedPageBreak/>
              <w:t>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2.0</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F95910"/>
        </w:tc>
        <w:tc>
          <w:tcPr>
            <w:tcW w:w="6908" w:type="dxa"/>
          </w:tcPr>
          <w:p w14:paraId="36E383D4" w14:textId="77777777" w:rsidR="00F95910" w:rsidRDefault="00F95910"/>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F95910"/>
        </w:tc>
        <w:tc>
          <w:tcPr>
            <w:tcW w:w="6908" w:type="dxa"/>
          </w:tcPr>
          <w:p w14:paraId="6C9CBA4A" w14:textId="77777777" w:rsidR="00F95910" w:rsidRDefault="00F95910"/>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Naprawiono brak możliwości podejrzenia cen i specyfikacji oferty oczekującej na walidację w panelu Starszego handlowca (zgłoszenie testerów). Liczba pozycji oraz link „+N więcej” pod ofertą są teraz klikalne i rozwijają tabelę pozycji: gatunek i wymiary, typ, cena jednostkowa, tony i wartość pozycji, w walucie oferty. Widok i działanie takie same jak na liście „Moje oferty”. Zmiana wyłącznie prezentacyjna - bez wpływu na wyliczenia cen.</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Walidacja oferty bezpośrednio z kalkulatora: po wejściu w ofertę oczekującą na weryfikację (przycisk „Edytuj w kalkulatorze”) Starszy handlowiec / Administrator ma na górze przyciski „Zatwierdź” i „Odrzuć” (odrzucenie wymaga powodu). Przy niezapisanych zmianach przyciski są zablokowane z podpowiedzią - decyzja dotyczy zapisanej wersji oferty. Po decyzji następuje powrót do panelu Starszego handlowca.</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Informacja o cenie poniżej wytycznych przed walidacją: w panelu Starszego handlowca (oferta oczekująca na weryfikację) oraz w kalkulatorze pod paskiem walidacji pojawia się lista pozycji, które nie spełniają wytycznych, z konkretną wartością i progiem - np. „marża 4% &lt; min 6%” albo „PGL 640 &lt; baza 645”. Reguła jest ta sama, która decyduje o konieczności zatwierdzenia oferty (jedno źródło w kodzie), więc komunikat nie może się rozjechać z wymogiem.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Powód odrzucenia oferty przez klienta jako lista rozwijana: przy oznaczeniu oferty wysłanej jako „Przegrana” zamiast wolnego tekstu pojawia się okno z listą powodów (cena, termin dostawy, wybrał konkurencję, projekt anulowany, brak odpowiedzi klienta, warunki płatności, inne). Wybór jest opcjonalny - brak wyboru zapisuje powód „Inne”, a przy „Inne” można wpisać własny powód. Powód widać w oznaczeniu przy ofercie. Oferty oznaczone wcześniej jako przegrane dostały powód „Inne” (dotychczasowa notatka zostaje). Wymaga uruchomienia migracji 024 na bazie przed wdrożeniem.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Statystyki powodów odrzucenia w panelu Analiza: nowy panel „Powody odrzucenia przez klienta” pod wykresem wygranych i przegranych. Pokazuje, ile ofert (oraz ile ton i jaką wartość) przegrano z każdego powodu, wraz z udziałem procentowym - od najczęstszego powodu. Respektuje filtry panelu (okres, handlowiec, klient, typ stali) i wybraną walutę; przegrane sprzed wprowadzenia listy liczone są jako „Inne”.</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Dostępność nowych okien dialogowych (odrzucenie oferty przez seniora, powód odrzucenia przez klienta): klawisz Tab krąży tylko po elementach okna i nie wychodzi na stronę pod spodem, okno zamyka Escape lub kliknięcie w tło, a po zamknięciu fokus wraca na przycisk, który je otworzył. Pola mają etykiety dla czytników ekranu, a przycisk Anuluj jest zablokowany w trakcie zapisu.</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F95910"/>
        </w:tc>
        <w:tc>
          <w:tcPr>
            <w:tcW w:w="6908" w:type="dxa"/>
          </w:tcPr>
          <w:p w14:paraId="6E86EE1A" w14:textId="77777777" w:rsidR="00F95910" w:rsidRDefault="00F95910"/>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F95910"/>
        </w:tc>
        <w:tc>
          <w:tcPr>
            <w:tcW w:w="6893" w:type="dxa"/>
          </w:tcPr>
          <w:p w14:paraId="1163E740" w14:textId="77777777" w:rsidR="00F95910" w:rsidRDefault="00F95910"/>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lastRenderedPageBreak/>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FD7F" w14:textId="77777777" w:rsidR="00455D23" w:rsidRDefault="00455D23">
      <w:pPr>
        <w:spacing w:after="0" w:line="240" w:lineRule="auto"/>
      </w:pPr>
      <w:r>
        <w:separator/>
      </w:r>
    </w:p>
  </w:endnote>
  <w:endnote w:type="continuationSeparator" w:id="0">
    <w:p w14:paraId="3B4E1423" w14:textId="77777777" w:rsidR="00455D23" w:rsidRDefault="00455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19DD2" w14:textId="77777777" w:rsidR="00455D23" w:rsidRDefault="00455D23">
      <w:pPr>
        <w:spacing w:after="0" w:line="240" w:lineRule="auto"/>
      </w:pPr>
      <w:r>
        <w:separator/>
      </w:r>
    </w:p>
  </w:footnote>
  <w:footnote w:type="continuationSeparator" w:id="0">
    <w:p w14:paraId="4E078705" w14:textId="77777777" w:rsidR="00455D23" w:rsidRDefault="00455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13</Pages>
  <Words>2830</Words>
  <Characters>16986</Characters>
  <Application>Microsoft Office Word</Application>
  <DocSecurity>0</DocSecurity>
  <Lines>141</Lines>
  <Paragraphs>39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37</cp:revision>
  <dcterms:created xsi:type="dcterms:W3CDTF">2026-07-08T11:11:00Z</dcterms:created>
  <dcterms:modified xsi:type="dcterms:W3CDTF">2026-09-23T11:10:00Z</dcterms:modified>
  <cp:category/>
</cp:coreProperties>
</file>