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1.8</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55B794A" w:rsidR="00BA4AAF" w:rsidRDefault="002F24E4">
            <w:r>
              <w:t>11.09.2026 - 1</w:t>
            </w:r>
            <w:r w:rsidR="00EE3BD0">
              <w:t>9</w:t>
            </w:r>
            <w:r>
              <w:t>.09.2026</w:t>
            </w:r>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AF41337" w:rsidR="00BA4AAF" w:rsidRDefault="00C302B7">
            <w:r>
              <w:t>1</w:t>
            </w:r>
            <w:r w:rsidR="00EE3BD0">
              <w:t>9</w:t>
            </w:r>
            <w:r>
              <w:t>.09.2026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1.8</w:t>
            </w:r>
          </w:p>
        </w:tc>
        <w:tc>
          <w:tcPr>
            <w:tcW w:w="2481" w:type="dxa"/>
          </w:tcPr>
          <w:p w14:paraId="56A0711A" w14:textId="758846C8" w:rsidR="00F95910" w:rsidRDefault="000B0BCE">
            <w:r>
              <w:t>11.09.2026, 14.09.2026, 15.09.2026</w:t>
            </w:r>
            <w:r w:rsidR="00EE3BD0">
              <w:t>, 16.09.2026, 19.09.2026</w:t>
            </w:r>
          </w:p>
        </w:tc>
        <w:tc>
          <w:tcPr>
            <w:tcW w:w="1568" w:type="dxa"/>
          </w:tcPr>
          <w:p w14:paraId="641FD02E" w14:textId="00EE764E" w:rsidR="00F95910" w:rsidRDefault="00505D3B">
            <w:r>
              <w:t>1</w:t>
            </w:r>
            <w:r w:rsidR="00EE3BD0">
              <w:t>9</w:t>
            </w:r>
            <w:r>
              <w:t>.09.2026</w:t>
            </w:r>
          </w:p>
        </w:tc>
        <w:tc>
          <w:tcPr>
            <w:tcW w:w="3581" w:type="dxa"/>
          </w:tcPr>
          <w:p w14:paraId="33825778" w14:textId="77777777" w:rsidR="00F95910" w:rsidRDefault="00F95910">
            <w:r>
              <w:t xml:space="preserve">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w:t>
            </w:r>
            <w:r>
              <w:lastRenderedPageBreak/>
              <w:t xml:space="preserve">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w:t>
            </w:r>
            <w:r>
              <w:lastRenderedPageBreak/>
              <w:t xml:space="preserve">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zarządu.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w:t>
            </w:r>
            <w:r>
              <w:lastRenderedPageBreak/>
              <w:t>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1F9171DF" w14:textId="77777777">
        <w:tc>
          <w:tcPr>
            <w:tcW w:w="1226" w:type="dxa"/>
          </w:tcPr>
          <w:p w14:paraId="6D863CB1" w14:textId="77777777" w:rsidR="00F95910" w:rsidRDefault="00000000">
            <w:r>
              <w:lastRenderedPageBreak/>
              <w:t>1.7</w:t>
            </w:r>
          </w:p>
        </w:tc>
        <w:tc>
          <w:tcPr>
            <w:tcW w:w="2481" w:type="dxa"/>
          </w:tcPr>
          <w:p w14:paraId="51D33B80" w14:textId="77777777" w:rsidR="00F95910" w:rsidRDefault="000B0BCE">
            <w:r>
              <w:t>01.09.2026, 10.09.2026</w:t>
            </w:r>
          </w:p>
        </w:tc>
        <w:tc>
          <w:tcPr>
            <w:tcW w:w="1568" w:type="dxa"/>
          </w:tcPr>
          <w:p w14:paraId="2F9E783D" w14:textId="77777777" w:rsidR="00F95910" w:rsidRDefault="00505D3B">
            <w:r>
              <w:t>10.09.2026</w:t>
            </w:r>
          </w:p>
        </w:tc>
        <w:tc>
          <w:tcPr>
            <w:tcW w:w="3581" w:type="dxa"/>
          </w:tcPr>
          <w:p w14:paraId="6D7794B9"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w:t>
            </w:r>
            <w:r>
              <w:lastRenderedPageBreak/>
              <w:t>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w:t>
            </w:r>
            <w:r>
              <w:lastRenderedPageBreak/>
              <w:t xml:space="preserve">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t>
            </w:r>
            <w:r>
              <w:lastRenderedPageBreak/>
              <w:t>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w:t>
            </w:r>
            <w:r>
              <w:lastRenderedPageBreak/>
              <w:t>„offer_30.2”...),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w:t>
            </w:r>
            <w:r>
              <w:lastRenderedPageBreak/>
              <w:t>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Wersja bazowa  -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1.8</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 xml:space="preserve">Dokumentacja repozytorium - README opisywał stan sprzed kilku wersji: brakowało transportu liczonego z trasy, zespołów seniora, metryk handlowców i całej wersji 1.8, a lista migracji bazy urywała się na 018. Opis funkcji został przepisany i pogrupowany w sekcje, listę migracji zastąpiono </w:t>
            </w:r>
            <w:r>
              <w:lastRenderedPageBreak/>
              <w:t>pętlą po katalogu migrations (nie zdezaktualizuje się przy kolejnej migracji), doszła tabela zmiennych środowiskowych wraz z kluczem do wyznaczania tras oraz opis uruchomienia środowiska lokalnego jednym skryptem. Odświeżono także trzy zrzuty ekranu kalkulatora - poprzednie pochodziły z lipca i pokazywały wersję 1.0 z trzema typami stali zamiast obecnych sześciu. Zaktualizowano również opis repozytorium na GitHubie (sekcja „About”), który nadal mówił o wersji 1.5.</w:t>
            </w:r>
          </w:p>
        </w:tc>
      </w:tr>
      <w:tr w:rsidR="00F95910" w14:paraId="59E7E150" w14:textId="77777777">
        <w:tc>
          <w:tcPr>
            <w:tcW w:w="1948" w:type="dxa"/>
          </w:tcPr>
          <w:p w14:paraId="29CA4ACF" w14:textId="77777777" w:rsidR="00F95910" w:rsidRDefault="00000000">
            <w:r>
              <w:lastRenderedPageBreak/>
              <w:t>Zmiana</w:t>
            </w:r>
          </w:p>
        </w:tc>
        <w:tc>
          <w:tcPr>
            <w:tcW w:w="6908" w:type="dxa"/>
          </w:tcPr>
          <w:p w14:paraId="50A4B606" w14:textId="77777777" w:rsidR="00F95910" w:rsidRDefault="00000000">
            <w:r>
              <w:t>Numer wersji w nagłówku aplikacji podniesiony do v1.8 we wszystkich czterech językach. Zgodnie z przyjętą zasadą repozytorium wyprzedza produkcję o jedną wersję: na środowisku produkcyjnym działa 1.7, w repozytorium trwają prace nad 1.8.</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75196D6B" w14:textId="77777777" w:rsidTr="006F108A">
        <w:tc>
          <w:tcPr>
            <w:tcW w:w="1967" w:type="dxa"/>
            <w:shd w:val="clear" w:color="auto" w:fill="EEF2F8"/>
          </w:tcPr>
          <w:p w14:paraId="67F22CAC" w14:textId="77777777" w:rsidR="00BA4AAF" w:rsidRDefault="00250F91">
            <w:r>
              <w:rPr>
                <w:b/>
                <w:color w:val="1F2A44"/>
              </w:rPr>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Dopłata dodatkowa - pozycja z niezerową dopłatą dodatkową zyskała opcjonalne pole komentarza (widoczne dopiero po wpisaniu wartości różnej od zera, chowane - ale nie kasowane - przy powrocie do zera) oraz osobny checkbox „Dołącz komentarz do PDF” (domyślnie odznaczony). Komentarz zapisuje się razem z resztą konfiguracji pozycji i jest poprawnie odtwarzany przy edycji zestawienia. Po zaznaczeniu checkboxa trafia jako dodatkowy wpis do kolumny „Uwagi” w PDF oferty - spójnie we wszystkich czterech miejscach eksportu (kalkulator, Moje oferty, Panel seniora, Panel administratora).</w:t>
            </w:r>
          </w:p>
        </w:tc>
      </w:tr>
      <w:tr w:rsidR="00F95910" w14:paraId="086542A0" w14:textId="77777777">
        <w:tc>
          <w:tcPr>
            <w:tcW w:w="1948" w:type="dxa"/>
          </w:tcPr>
          <w:p w14:paraId="2FBBB1CD" w14:textId="77777777" w:rsidR="00F95910" w:rsidRDefault="00000000">
            <w:r>
              <w:t>Nowa funkcja</w:t>
            </w:r>
          </w:p>
        </w:tc>
        <w:tc>
          <w:tcPr>
            <w:tcW w:w="6908" w:type="dxa"/>
          </w:tcPr>
          <w:p w14:paraId="4EA0C2FD" w14:textId="77777777" w:rsidR="00F95910" w:rsidRDefault="00000000">
            <w:r>
              <w:t>Gatunek jednorazowy - handlowiec może wycenić gatunek spoza cennika. Po wpisaniu nazwy, której nie ma w tabeli danego typu stali, na górze listy podpowiedzi pojawia się pozycja „Gatunek jednorazowy”, a po jej wybraniu - pole dopłaty [EUR/t] tuż pod polem gatunku. Wartość wchodzi do dopłaty gatunkowej i dalej do ceny końcowej na zwykłych zasadach (działa też przy przełączeniu widoku na PLN). Gatunek żyje wyłącznie w obrębie danej oferty: zapisuje się razem z pozycją, więc cena odtwarza się poprawnie przy edycji zestawienia i ponownym otwarciu oferty, ale nie trafia do cennika i nie pojawia się w podpowiedziach w innych ofertach ani u innych handlowców. W PDF i w Excelu widoczna jest sama nazwa gatunku - oznaczenie „jednorazowy” jest wyłącznie wewnętrzne (kalkulator i zestawienie). Przy okazji poprawiono wcześniejsze zachowanie, w którym wpisanie nieznanego gatunku po cichu ustawiało dopłatę gatunkową na 0, bez żadnego ostrzeżenia dla handlowca.</w:t>
            </w:r>
          </w:p>
        </w:tc>
      </w:tr>
      <w:tr w:rsidR="00F95910" w14:paraId="5405CD87" w14:textId="77777777">
        <w:tc>
          <w:tcPr>
            <w:tcW w:w="1948" w:type="dxa"/>
          </w:tcPr>
          <w:p w14:paraId="2FB99804" w14:textId="77777777" w:rsidR="00F95910" w:rsidRDefault="00000000">
            <w:r>
              <w:t>Nowa funkcja</w:t>
            </w:r>
          </w:p>
        </w:tc>
        <w:tc>
          <w:tcPr>
            <w:tcW w:w="6908" w:type="dxa"/>
          </w:tcPr>
          <w:p w14:paraId="7E09AB83" w14:textId="77777777" w:rsidR="00F95910" w:rsidRDefault="00000000">
            <w:r>
              <w:t>Odbiór własny w transporcie - w panelu „Trasa i transport” doszedł checkbox „Odbiór własny”: gdy klient sam odbiera towar spod zakładu, transport ustawia się na 0 €/t, a reszta pól trasy (adres, kilometry, ponadgabaryt, tryb ręczny) zostaje wyszarzona i nieaktywna. Wartość 0 przenosi się też na już dodane pozycje zestawienia - tym samym mechanizmem, który dotąd aktualizował transport po przeliczeniu trasy.</w:t>
            </w:r>
          </w:p>
        </w:tc>
      </w:tr>
      <w:tr w:rsidR="00F95910" w14:paraId="032D43EE" w14:textId="77777777">
        <w:tc>
          <w:tcPr>
            <w:tcW w:w="1948" w:type="dxa"/>
          </w:tcPr>
          <w:p w14:paraId="7DAAA781" w14:textId="77777777" w:rsidR="00F95910" w:rsidRDefault="00000000">
            <w:r>
              <w:t>Nowa funkcja</w:t>
            </w:r>
          </w:p>
        </w:tc>
        <w:tc>
          <w:tcPr>
            <w:tcW w:w="6908" w:type="dxa"/>
          </w:tcPr>
          <w:p w14:paraId="16E8FC8C" w14:textId="77777777" w:rsidR="00F95910" w:rsidRDefault="00000000">
            <w:r>
              <w:t xml:space="preserve">Harmonogram kwartalny PGL - w panelu administratora sekcja „Konfiguracja” zyskała jedną tabelę PGL bazowego: wiersz na typ stali </w:t>
            </w:r>
            <w:r>
              <w:lastRenderedPageBreak/>
              <w:t>(HRS, CR, HDG, PICKLED, TEARDROP, ZM), kolumna bieżącego miesiąca oraz kolumny Q1–Q4 wybranego roku (przełącznik roku obok nagłówka). Administrator może wpisać cenę na przyszły kwartał z wyprzedzeniem - kalkulator zaczyna jej używać sam, z chwilą rozpoczęcia tego kwartału, bez żadnej dodatkowej akcji. Kolumna bieżącego miesiąca pokazuje cenę obowiązującą w danej chwili: gdy pochodzi z zaplanowanego kwartału, jest tylko do odczytu i oznaczona numerem tego kwartału (edycja odbywa się w jego kolumnie), a gdy dla trwającego kwartału nic nie zaplanowano - pozostaje zwykłym polem z dotychczasową wartością ręczną. Aktywny kwartał jest w tabeli wyróżniony. Zaplanowane ceny wpływają wyłącznie na wartość startową NOWEJ kalkulacji oraz na próg wymagający zatwierdzenia oferty; oferty zapisane, oczekujące na akceptację i wysłane zachowują PGL z dnia wyceny. Funkcja wymaga migracji bazy danych (021_create_pgl_quarterly_prices.sql).</w:t>
            </w:r>
          </w:p>
        </w:tc>
      </w:tr>
      <w:tr w:rsidR="00F95910" w14:paraId="7EACC03C" w14:textId="77777777">
        <w:tc>
          <w:tcPr>
            <w:tcW w:w="1948" w:type="dxa"/>
          </w:tcPr>
          <w:p w14:paraId="7A93B65B" w14:textId="77777777" w:rsidR="00F95910" w:rsidRDefault="00000000">
            <w:r>
              <w:lastRenderedPageBreak/>
              <w:t>Nowa funkcja</w:t>
            </w:r>
          </w:p>
        </w:tc>
        <w:tc>
          <w:tcPr>
            <w:tcW w:w="6908" w:type="dxa"/>
          </w:tcPr>
          <w:p w14:paraId="0FC7CA68" w14:textId="77777777" w:rsidR="00F95910" w:rsidRDefault="00000000">
            <w:r>
              <w:t>Panel kalkulacji zwijany – cały blok liczenia jednej pozycji (wybór typu blachy, przełącznik ARKUSZ/KRĄG, parametry wejściowe, waga arkusza/ostrzeżenia oraz siatka wynikowa z dopłatami huty, dopłatami SSC i marżą) zyskał nagłówek z możliwością zwinięcia i rozwinięcia, dokładnie tak samo jak panel Danych Klienta powyżej niego. Domyślnie rozwinięty przy wejściu na kalkulator; zestawienie pozycji oferty zostaje osobnym, zawsze widocznym panelem poniżej, niezależnie od stanu panelu kalkulacji – zwinięcie ułatwia szybkie przewijanie do zestawienia przy dłuższych ofertach.</w:t>
            </w:r>
          </w:p>
        </w:tc>
      </w:tr>
      <w:tr w:rsidR="00F95910" w14:paraId="103B9C69" w14:textId="77777777">
        <w:tc>
          <w:tcPr>
            <w:tcW w:w="1948" w:type="dxa"/>
          </w:tcPr>
          <w:p w14:paraId="4457B070" w14:textId="77777777" w:rsidR="00F95910" w:rsidRDefault="00000000">
            <w:r>
              <w:t>Nowa funkcja</w:t>
            </w:r>
          </w:p>
        </w:tc>
        <w:tc>
          <w:tcPr>
            <w:tcW w:w="6908" w:type="dxa"/>
          </w:tcPr>
          <w:p w14:paraId="73188F3A" w14:textId="77777777" w:rsidR="00F95910" w:rsidRDefault="00000000">
            <w:r>
              <w:t>Okres ważności oferty - obok przełącznika Arkusz/Krąg doszły dwa pola daty, „Ważna od” i „Ważna do”, określające okres, na jaki wyceniana jest oferta. Kwartał wyznaczony z daty „Ważna od” automatycznie dobiera PGL bazowe zaplanowane w harmonogramie kwartalnym (patrz wyżej, harmonogram kwartalny PGL) dla tego kwartału - dokładnie tą samą logiką co dotychczasowe przełączanie na bieżący kwartał, tylko sparametryzowaną wybranym okresem zamiast „teraz”. Gdy zakres „od”–„do” wykracza poza jeden kwartał, PGL nie jest dobierane automatycznie i pojawia się czerwone ostrzeżenie - administrator planuje ceny per kwartał, więc taki zakres byłby niejednoznaczny. Zmiana typu stali po ustawieniu okresu nadal resetuje PGL do wartości dla nowego typu w tym samym kwartale. Obie daty zapisują się razem z resztą oferty (jak dotychczasowy pglBase/transport) i odtwarzają się przy ponownym otwarciu bez ponownego przeliczania - zapisana oferta zachowuje PGL z dnia wyceny, tak samo jak przy zwykłej zmianie typu stali.</w:t>
            </w:r>
          </w:p>
        </w:tc>
      </w:tr>
      <w:tr w:rsidR="00F95910" w14:paraId="6FA00F75" w14:textId="77777777">
        <w:tc>
          <w:tcPr>
            <w:tcW w:w="1948" w:type="dxa"/>
          </w:tcPr>
          <w:p w14:paraId="59EC10D4" w14:textId="77777777" w:rsidR="00F95910" w:rsidRDefault="00000000">
            <w:r>
              <w:t>Poprawka</w:t>
            </w:r>
          </w:p>
        </w:tc>
        <w:tc>
          <w:tcPr>
            <w:tcW w:w="6908" w:type="dxa"/>
          </w:tcPr>
          <w:p w14:paraId="504E870E" w14:textId="77777777" w:rsidR="00F95910" w:rsidRDefault="00000000">
            <w:r>
              <w:t>Zapis ustawień nie nadpisuje już ręcznej ceny bazowej PGL ceną kwartalną. Gdy dla danego typu stali obowiązywała cena zaplanowana na bieżący kwartał, formularz ustawień trzymał właśnie tę wartość i przy zapisie karty odsyłał ją do kolumny z ceną ręczną - czyli do wartości, z której kalkulator korzysta po zakończeniu kwartału, gdy kolejny nie ma jeszcze zaplanowanej ceny. Działo się to przy każdym zapisie tej karty, również wtedy, gdy administrator zmieniał wyłącznie kurs waluty. Po poprawce zapis pomija ceny bazowe tych typów, dla których bieżący kwartał ma zaplanowaną cenę - ich pola i tak są w tabeli tylko do odczytu. Błąd wykryty i naprawiony przed wdrożeniem wersji 1.8.</w:t>
            </w:r>
          </w:p>
        </w:tc>
      </w:tr>
      <w:tr w:rsidR="00F95910" w14:paraId="31A7292C" w14:textId="77777777">
        <w:tc>
          <w:tcPr>
            <w:tcW w:w="1948" w:type="dxa"/>
          </w:tcPr>
          <w:p w14:paraId="6B878E98" w14:textId="77777777" w:rsidR="00F95910" w:rsidRDefault="00000000">
            <w:r>
              <w:lastRenderedPageBreak/>
              <w:t>Poprawka</w:t>
            </w:r>
          </w:p>
        </w:tc>
        <w:tc>
          <w:tcPr>
            <w:tcW w:w="6908" w:type="dxa"/>
          </w:tcPr>
          <w:p w14:paraId="4A762647" w14:textId="77777777" w:rsidR="00F95910" w:rsidRDefault="00000000">
            <w:r>
              <w:t>Widoczność ostrzeżeń o cenie poniżej progu - komunikaty „PGL poniżej bazy” i „marża poniżej minimum” były drobnym żółtym tekstem z ikoną ⚠, słabo zauważalnym na liście parametrów; handlowcy zgłaszali, że łatwo je przeoczyć, mimo że pozycja z taką wartością wymaga później zatwierdzenia oferty (patrz lib/offerReview.ts). Oba komunikaty przeniesiono do wyraźnie odznaczonego, czerwono obramowanego bloku z pogrubionym tekstem, zamiast dotychczasowej cienkiej żółtej linijki.</w:t>
            </w:r>
          </w:p>
        </w:tc>
      </w:tr>
      <w:tr w:rsidR="00F95910" w14:paraId="6CC6A8AD" w14:textId="77777777">
        <w:tc>
          <w:tcPr>
            <w:tcW w:w="1948" w:type="dxa"/>
          </w:tcPr>
          <w:p w14:paraId="6A7DE081" w14:textId="77777777" w:rsidR="00F95910" w:rsidRDefault="00000000">
            <w:r>
              <w:t>Zmiana</w:t>
            </w:r>
          </w:p>
        </w:tc>
        <w:tc>
          <w:tcPr>
            <w:tcW w:w="6908" w:type="dxa"/>
          </w:tcPr>
          <w:p w14:paraId="7A1AAF5E" w14:textId="77777777" w:rsidR="00F95910" w:rsidRDefault="00000000">
            <w:r>
              <w:t>Złom w podsumowaniu SSC - dotąd stała kwota 10 €/t (SCRAP_CONSTANT w kodzie), teraz % ceny wsadu (PGL + Σ Huta), domyślnie 2%. Procent jest konfigurowalny przez administratora w Ustawieniach (nowe pole „Złom (%)”, walidacja 0–100, ten sam mechanizm co minimalna marża) i zapisany w bazie (migracja 022_add_scrap_pct.sql). Wiersz „Złom” w podsumowaniu pokazuje teraz aktualny procent i przeliczoną kwotę zamiast dotychczasowego oznaczenia „(stała)”. Tą samą logiką zaktualizowano też dwa niezależne, samodzielne kalkulatory HTML w repozytorium (index.html, steel_calculator_standalone.html).</w:t>
            </w:r>
          </w:p>
        </w:tc>
      </w:tr>
      <w:tr w:rsidR="00F95910" w14:paraId="1C41D4AF" w14:textId="77777777">
        <w:tc>
          <w:tcPr>
            <w:tcW w:w="1948" w:type="dxa"/>
          </w:tcPr>
          <w:p w14:paraId="43565050" w14:textId="77777777" w:rsidR="00F95910" w:rsidRDefault="00000000">
            <w:r>
              <w:t>Poprawka</w:t>
            </w:r>
          </w:p>
        </w:tc>
        <w:tc>
          <w:tcPr>
            <w:tcW w:w="6908" w:type="dxa"/>
          </w:tcPr>
          <w:p w14:paraId="7BA78195" w14:textId="77777777" w:rsidR="00F95910" w:rsidRDefault="00000000">
            <w:r>
              <w:t>Historia zmian cen bazowych PGL nie rejestrowała zmian wprowadzanych przez harmonogram kwartalny. Gdy dla danego typu stali bieżący kwartał miał zaplanowaną cenę, pole ręczne w tabeli było tylko do odczytu, a jedynym sposobem na zmianę ceny „teraz” była edycja komórki tego kwartału - ten zapis szedł osobnym mechanizmem (PUT /api/settings/pgl-quarterly) i nie trafiał do logu historii, mimo że cena faktycznie się zmieniała. Po poprawce zmiana ceny bieżącego kwartału jest logowana tym samym mechanizmem co ręczna zmiana ceny bazowej, a panel odświeża tabelę historii również po zapisie harmonogramu.</w:t>
            </w:r>
          </w:p>
        </w:tc>
      </w:tr>
      <w:tr w:rsidR="00F95910" w14:paraId="5E1F3F26" w14:textId="77777777">
        <w:tc>
          <w:tcPr>
            <w:tcW w:w="1948" w:type="dxa"/>
          </w:tcPr>
          <w:p w14:paraId="2488FD57" w14:textId="77777777" w:rsidR="00F95910" w:rsidRDefault="00000000">
            <w:r>
              <w:t>Zmiana</w:t>
            </w:r>
          </w:p>
        </w:tc>
        <w:tc>
          <w:tcPr>
            <w:tcW w:w="6908" w:type="dxa"/>
          </w:tcPr>
          <w:p w14:paraId="366BBC30" w14:textId="77777777" w:rsidR="00F95910" w:rsidRDefault="00000000">
            <w:r>
              <w:t>Złom zaokrąglony do liczby całkowitej - na polecenie zarządu kwota złomu w podsumowaniu SSC (obliczana jako % ceny wsadu) jest teraz zaokrąglana do pełnej jednostki waluty, zamiast dotychczasowych dwóch miejsc po przecinku. Zaokrąglenie następuje na poziomie obliczeń, więc wpływa też na sumę SSC i cenę końcową pozycji, nie tylko na sam wygląd wiersza „Złom”.</w:t>
            </w:r>
          </w:p>
        </w:tc>
      </w:tr>
      <w:tr w:rsidR="00F95910" w14:paraId="468186C5" w14:textId="77777777">
        <w:tc>
          <w:tcPr>
            <w:tcW w:w="1948" w:type="dxa"/>
          </w:tcPr>
          <w:p w14:paraId="6FC67A1B" w14:textId="77777777" w:rsidR="00F95910" w:rsidRDefault="00000000">
            <w:r>
              <w:t>Nowa funkcja</w:t>
            </w:r>
          </w:p>
        </w:tc>
        <w:tc>
          <w:tcPr>
            <w:tcW w:w="6908" w:type="dxa"/>
          </w:tcPr>
          <w:p w14:paraId="2C474DD4" w14:textId="77777777" w:rsidR="00F95910" w:rsidRDefault="00000000">
            <w:r>
              <w:t xml:space="preserve">Termin płatności - obok pól „Ważna od”/„Ważna do” (okres ważności oferty) doszła osobna para pól „Termin płatności od” i „Termin płatności do”, niezależna od okresu ważności. Wybranie daty „od” automatycznie dolicza „do” jako „od” + liczba dni - indywidualny termin przypisany klientowi, jeśli taki ma, albo globalny termin domyślny ustawiony w Ustawieniach (domyślnie 7 dni), ale pole „do” zostaje w pełni edytowalne ręcznie - ponowna zmiana „od” przelicza je od nowa. Panel „Klienci” pozwala przypisać każdej firmie własny termin płatności w dniach (puste pole = dziedziczenie globalnego domyślnego); dostępny jest teraz nie tylko dla administratora (/admin/klienci), ale też dla starszego handlowca w nowej zakładce „Klienci” w Panelu Seniora, gdzie może zmieniać wyłącznie ten jeden parametr klienta - ograniczenie wymuszone po stronie serwera, nie tylko ukryte w interfejsie. Administrator konfiguruje globalny domyślny termin w Ustawieniach (nowe pole „Domyślny termin płatności (dni)”, walidacja 0–365, ten sam mechanizm co minimalna marża czy </w:t>
            </w:r>
            <w:r>
              <w:lastRenderedPageBreak/>
              <w:t>złom). Funkcja wymaga migracji bazy danych (023_add_payment_term.sql, kolumny app_settings.payment_term_days i clients.payment_term_days).</w:t>
            </w:r>
          </w:p>
        </w:tc>
      </w:tr>
    </w:tbl>
    <w:p w14:paraId="05971E18" w14:textId="77777777" w:rsidR="00BA4AAF" w:rsidRDefault="00250F91">
      <w:pPr>
        <w:spacing w:before="240" w:after="40"/>
      </w:pPr>
      <w:r>
        <w:rPr>
          <w:b/>
          <w:color w:val="2B57A6"/>
          <w:sz w:val="26"/>
        </w:rPr>
        <w:lastRenderedPageBreak/>
        <w:t>Zarządzanie ofertami</w:t>
      </w:r>
    </w:p>
    <w:p w14:paraId="116A22E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5"/>
        <w:gridCol w:w="6911"/>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Nowa funkcja</w:t>
            </w:r>
          </w:p>
        </w:tc>
        <w:tc>
          <w:tcPr>
            <w:tcW w:w="6908" w:type="dxa"/>
          </w:tcPr>
          <w:p w14:paraId="40FB1345" w14:textId="77777777" w:rsidR="00F95910" w:rsidRDefault="00000000">
            <w:r>
              <w:t>Migracja przeterminowanego PGL przy edycji i duplikowaniu oferty - gdy zapisana oferta była wyceniona w innym kwartale niż bieżący (harmonogram kwartalny PGL, patrz wyżej), otwarcie jej do edycji albo do edycji świeżo zduplikowanej kopii automatycznie podmienia PGL bazowe oraz PGL i przeliczoną marżę/cenę/wartość każdej pozycji zestawienia na aktualne dla bieżącego kwartału (dla każdego typu stali osobno), a okres ważności „Ważna od”/„Ważna do” przesuwa na dzisiejszą datę z zachowaniem oryginalnej długości zakresu. Zmiana nie blokuje edycji i nie zapisuje się automatycznie - handlowiec widzi wyraźny baner z informacją, na jaki kwartał oferta była pierwotnie wyceniona i ile pozycji zostało przeliczonych, a dane trafiają do bazy dopiero po ręcznym zapisaniu (tworząc, jak zwykle, nową wersję oferty). Pozycje sprzed wprowadzenia pełnej konfiguracji dopłat (starsze oferty bez zapisanego „inputs”) dostają wyłącznie podmienione PGL bez przeliczenia marży i ceny - baner osobno informuje, ile takich pozycji wymaga ręcznego sprawdzenia. Duplikowanie samo w sobie nadal tylko kopiuje ofertę; migracja uruchamia się dopiero przy otwarciu takiej kopii do edycji, tą samą ścieżką co zwykła edycja. Funkcja nie wymaga migracji bazy danych.</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53"/>
        <w:gridCol w:w="6903"/>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Nowa funkcja</w:t>
            </w:r>
          </w:p>
        </w:tc>
        <w:tc>
          <w:tcPr>
            <w:tcW w:w="6908" w:type="dxa"/>
          </w:tcPr>
          <w:p w14:paraId="6C491491" w14:textId="77777777" w:rsidR="00F95910" w:rsidRDefault="00000000">
            <w:r>
              <w:t>Okres ważności oferty w PDF - gdy w kalkulatorze wypełniono obie daty „Ważna od”/„Ważna do”, w stopce oferty pojawia się dodatkowa linijka z wybranym zakresem dat, obok dotychczasowej stałej formułki „Ważność oferty: 48h od daty wystawienia” (która zostaje bez zmian). Linijka renderuje się we wszystkich czterech językach interfejsu (PL/EN/CS/DE) i znika, gdy okres nie został ustawiony - stare oferty bez tych pól nie tracą nic ze swojego PDF-u.</w:t>
            </w:r>
          </w:p>
        </w:tc>
      </w:tr>
      <w:tr w:rsidR="00F95910" w14:paraId="72E1DCB8" w14:textId="77777777">
        <w:tc>
          <w:tcPr>
            <w:tcW w:w="1948" w:type="dxa"/>
          </w:tcPr>
          <w:p w14:paraId="721C1BB7" w14:textId="77777777" w:rsidR="00F95910" w:rsidRDefault="00000000">
            <w:r>
              <w:t>Nowa funkcja</w:t>
            </w:r>
          </w:p>
        </w:tc>
        <w:tc>
          <w:tcPr>
            <w:tcW w:w="6908" w:type="dxa"/>
          </w:tcPr>
          <w:p w14:paraId="3B6027C1" w14:textId="77777777" w:rsidR="00F95910" w:rsidRDefault="00000000">
            <w:r>
              <w:t>Termin płatności w PDF - gdy w kalkulatorze wypełniono obie daty „Termin płatności od”/„do”, w stopce oferty pojawia się linijka „Termin płatności: {od} – {do}.”, która ZASTĘPUJE dotychczasową ogólną formułkę „Warunki płatności: wg ustaleń indywidualnych” (formułka wraca, gdy termin nie został ustawiony). Renderuje się we wszystkich czterech językach interfejsu (PL/EN/CS/DE), niezależnie od istniejącej linijki okresu ważności oferty.</w:t>
            </w:r>
          </w:p>
        </w:tc>
      </w:tr>
      <w:tr w:rsidR="00F95910" w14:paraId="2774F99F" w14:textId="77777777">
        <w:tc>
          <w:tcPr>
            <w:tcW w:w="1948" w:type="dxa"/>
          </w:tcPr>
          <w:p w14:paraId="5DDD753B" w14:textId="77777777" w:rsidR="00F95910" w:rsidRDefault="00000000">
            <w:r>
              <w:t>Poprawka</w:t>
            </w:r>
          </w:p>
        </w:tc>
        <w:tc>
          <w:tcPr>
            <w:tcW w:w="6908" w:type="dxa"/>
          </w:tcPr>
          <w:p w14:paraId="13E731FA" w14:textId="77777777" w:rsidR="00F95910" w:rsidRDefault="00000000">
            <w:r>
              <w:t xml:space="preserve">Podsumowanie oferty (wiersz „RAZEM”) w PDF drukowało się po każdej stronie tabeli pozycji zamiast tylko po ostatniej - silnik konwersji HTML→PDF (Abacus, headless Chrome) powtarza nagłówek i stopkę tabeli </w:t>
            </w:r>
            <w:r>
              <w:lastRenderedPageBreak/>
              <w:t>na każdej stronie, na którą się ona rozleje, więc przy więcej niż ok. 2 pozycjach „RAZEM” pojawiało się po każdej stronie z osobną, niepełną sumą. Podsumowanie jest teraz osobną tabelą za tabelą pozycji, więc renderuje się dokładnie raz, bezpośrednio po ostatniej pozycji, niezależnie ile stron zajęły pozycje. Dotyczyło ofert w obu walutach (EUR i PLN).</w:t>
            </w:r>
          </w:p>
        </w:tc>
      </w:tr>
      <w:tr w:rsidR="00F95910" w14:paraId="468B265F" w14:textId="77777777">
        <w:tc>
          <w:tcPr>
            <w:tcW w:w="1948" w:type="dxa"/>
          </w:tcPr>
          <w:p w14:paraId="4D990C46" w14:textId="77777777" w:rsidR="00F95910" w:rsidRDefault="00000000">
            <w:r>
              <w:lastRenderedPageBreak/>
              <w:t>Poprawka</w:t>
            </w:r>
          </w:p>
        </w:tc>
        <w:tc>
          <w:tcPr>
            <w:tcW w:w="6908" w:type="dxa"/>
          </w:tcPr>
          <w:p w14:paraId="0378A629" w14:textId="77777777" w:rsidR="00F95910" w:rsidRDefault="00000000">
            <w:r>
              <w:t>Tekst w kolumnach „Cena”/„Wartość” rozjeżdżał się przy pięciocyfrowych kwotach (częste w ofertach PLN po przeliczeniu kursem) - tabela miała zmienną szerokość kolumn, więc mogła się ona przeliczać niespójnie. Kolumny mają teraz stałą, wspólną szerokość dla całej tabeli, kolumny „Cena” i „Wartość” zostały poszerzone, a liczby przestały się zawijać do kolejnej linii.</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Nowa funkcja</w:t>
            </w:r>
          </w:p>
        </w:tc>
        <w:tc>
          <w:tcPr>
            <w:tcW w:w="6893" w:type="dxa"/>
          </w:tcPr>
          <w:p w14:paraId="4327A9A5" w14:textId="77777777" w:rsidR="00F95910" w:rsidRDefault="00000000">
            <w:r>
              <w:t>Zmiana kolejności pozycji w zestawieniu - każdy wiersz zestawienia zyskał uchwyt do przeciągania po lewej stronie, którym handlowiec może przenieść pozycję w inne miejsce listy; numeracja „Lp.” przelicza się automatycznie, a przesuwanie pozostałych wierszy jest płynnie animowane. Nowa kolejność to jednocześnie kolejność pozycji w eksportowanym PDF, w Excelu i w zapisanej ofercie. Funkcja działa też dotykiem na telefonie i tablecie, nie tylko myszką na komputerze.</w:t>
            </w:r>
          </w:p>
        </w:tc>
      </w:tr>
      <w:tr w:rsidR="00F95910" w14:paraId="012C3376" w14:textId="77777777">
        <w:tc>
          <w:tcPr>
            <w:tcW w:w="1963" w:type="dxa"/>
          </w:tcPr>
          <w:p w14:paraId="634BDC2F" w14:textId="77777777" w:rsidR="00F95910" w:rsidRDefault="00000000">
            <w:r>
              <w:t>Nowa funkcja</w:t>
            </w:r>
          </w:p>
        </w:tc>
        <w:tc>
          <w:tcPr>
            <w:tcW w:w="6893" w:type="dxa"/>
          </w:tcPr>
          <w:p w14:paraId="704AD076" w14:textId="77777777" w:rsidR="00F95910" w:rsidRDefault="00000000">
            <w:r>
              <w:t>Podsumowanie zestawienia pozycji zyskało widoczny total ilości w tonach - obok dotychczasowej sumy wartości oferty, w tym samym wierszu podsumowującym pod tabelą pozycji. Wiersz podsumowania przeniesiono z osobnego paska pod tabelą do wiersza podsumowującego (tfoot) samej tabeli, dzięki czemu suma ton wyrównuje się dokładnie pod kolumną „Tony”, a suma wartości pod kolumną „Wartość”.</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17BEDB42" w14:textId="77777777" w:rsidR="008C3B75" w:rsidRDefault="006F108A" w:rsidP="008C3B75">
      <w:pPr>
        <w:pStyle w:val="Listapunktowana"/>
      </w:pPr>
      <w:r>
        <w:t xml:space="preserve">Funkcje wersji 1.8 (komentarz do dopłaty dodatkowej, gatunek jednorazowy, odbiór własny w transporcie, harmonogram kwartalny PGL oraz migracja przeterminowanego PGL przy edycji/duplikowaniu oferty) są gotowe i przetestowane lokalnie, ale nie zostały jeszcze wdrożone na środowisko produkcyjne; wszystkie poza harmonogramem kwartalnym PGL nie wymagają migracji bazy danych (dane trafiają do istniejącego pola JSONB „offer_data”), </w:t>
      </w:r>
      <w:r>
        <w:lastRenderedPageBreak/>
        <w:t>natomiast harmonogram kwartalny PGL wymaga uruchomienia migracji 021_create_pgl_quarterly_prices.sql przed podmianą plików aplikacji.</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Wdrożenie wersji 1.8 (komentarz do dopłaty dodatkowej, gatunek jednorazowy, odbiór własny w transporcie, harmonogram kwartalny PGL, migracja przeterminowanego PGL przy edycji/duplikowaniu oferty) na środowisko produkcyjne - wraz z migracją 021_create_pgl_quarterly_prices.sql</w:t>
      </w:r>
    </w:p>
    <w:p w14:paraId="0FEE3EF5" w14:textId="77777777" w:rsidR="00A14329" w:rsidRDefault="00250F91">
      <w:pPr>
        <w:pStyle w:val="Listapunktowana"/>
      </w:pPr>
      <w:r>
        <w:t>Testy ręczne end-to-end wszystkich trzech ról i pełnego obiegu oferty na środowisku hostingowym</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7AC1B" w14:textId="77777777" w:rsidR="00BA6CF9" w:rsidRDefault="00BA6CF9">
      <w:pPr>
        <w:spacing w:after="0" w:line="240" w:lineRule="auto"/>
      </w:pPr>
      <w:r>
        <w:separator/>
      </w:r>
    </w:p>
  </w:endnote>
  <w:endnote w:type="continuationSeparator" w:id="0">
    <w:p w14:paraId="3BC84103" w14:textId="77777777" w:rsidR="00BA6CF9" w:rsidRDefault="00BA6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CCA32" w14:textId="77777777" w:rsidR="00BA6CF9" w:rsidRDefault="00BA6CF9">
      <w:pPr>
        <w:spacing w:after="0" w:line="240" w:lineRule="auto"/>
      </w:pPr>
      <w:r>
        <w:separator/>
      </w:r>
    </w:p>
  </w:footnote>
  <w:footnote w:type="continuationSeparator" w:id="0">
    <w:p w14:paraId="542985E5" w14:textId="77777777" w:rsidR="00BA6CF9" w:rsidRDefault="00BA6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A6CF9"/>
    <w:rsid w:val="00BB0A80"/>
    <w:rsid w:val="00C05C5A"/>
    <w:rsid w:val="00C2208F"/>
    <w:rsid w:val="00C302B7"/>
    <w:rsid w:val="00C62E5A"/>
    <w:rsid w:val="00CB0664"/>
    <w:rsid w:val="00D03A63"/>
    <w:rsid w:val="00D21B55"/>
    <w:rsid w:val="00D22FBE"/>
    <w:rsid w:val="00D2414B"/>
    <w:rsid w:val="00D7535D"/>
    <w:rsid w:val="00DF74C1"/>
    <w:rsid w:val="00EE3BD0"/>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15</Pages>
  <Words>4324</Words>
  <Characters>25944</Characters>
  <Application>Microsoft Office Word</Application>
  <DocSecurity>0</DocSecurity>
  <Lines>216</Lines>
  <Paragraphs>60</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24</cp:revision>
  <dcterms:created xsi:type="dcterms:W3CDTF">2026-07-08T11:11:00Z</dcterms:created>
  <dcterms:modified xsi:type="dcterms:W3CDTF">2026-09-15T06:27:00Z</dcterms:modified>
  <cp:category/>
</cp:coreProperties>
</file>