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4480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GPT Image 20 août 2026, 17_09_3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480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ontserrat" w:hAnsi="Montserrat"/>
          <w:b/>
          <w:color w:val="C9972B"/>
          <w:sz w:val="48"/>
        </w:rPr>
        <w:t>CHARTE GRAPHIQUE</w:t>
      </w:r>
    </w:p>
    <w:p>
      <w:pPr>
        <w:jc w:val="center"/>
      </w:pPr>
      <w:r>
        <w:rPr>
          <w:rFonts w:ascii="Montserrat" w:hAnsi="Montserrat"/>
          <w:b/>
          <w:color w:val="0B2A54"/>
          <w:sz w:val="36"/>
        </w:rPr>
        <w:t>OLUMERIUM GROUP</w:t>
      </w:r>
    </w:p>
    <w:p>
      <w:pPr>
        <w:jc w:val="center"/>
      </w:pPr>
      <w:r>
        <w:rPr>
          <w:rFonts w:ascii="Montserrat" w:hAnsi="Montserrat"/>
          <w:i/>
          <w:color w:val="C9972B"/>
          <w:sz w:val="24"/>
        </w:rPr>
        <w:t>« Éclairer le progrès. Bâtir la prospérité. »</w:t>
      </w:r>
    </w:p>
    <w:p>
      <w:r>
        <w:br w:type="page"/>
      </w:r>
    </w:p>
    <w:p>
      <w:pPr>
        <w:pStyle w:val="Heading1"/>
      </w:pPr>
      <w:r>
        <w:t>1. Identité de marque</w:t>
      </w:r>
    </w:p>
    <w:p>
      <w:r>
        <w:rPr>
          <w:b/>
        </w:rPr>
        <w:t xml:space="preserve">Nom : </w:t>
      </w:r>
      <w:r>
        <w:t>OLUMERIUM GROUP</w:t>
      </w:r>
    </w:p>
    <w:p>
      <w:r>
        <w:rPr>
          <w:b/>
        </w:rPr>
        <w:t xml:space="preserve">Signature : </w:t>
      </w:r>
      <w:r>
        <w:t>ÉCLAIRER LE PROGRÈS. BÂTIR LA PROSPÉRITÉ.</w:t>
      </w:r>
    </w:p>
    <w:p>
      <w:r>
        <w:t>Olumerium Group véhicule une image de puissance, d’élégance, de prospérité, d’innovation, de leadership, de vision internationale et de stabilité.</w:t>
      </w:r>
    </w:p>
    <w:p>
      <w:pPr>
        <w:pStyle w:val="Heading2"/>
      </w:pPr>
      <w:r>
        <w:t>Positionnement</w:t>
      </w:r>
    </w:p>
    <w:p>
      <w:pPr>
        <w:pStyle w:val="ListBullet"/>
        <w:spacing w:after="60"/>
      </w:pPr>
      <w:r>
        <w:t>Groupe institutionnel et premium</w:t>
      </w:r>
    </w:p>
    <w:p>
      <w:pPr>
        <w:pStyle w:val="ListBullet"/>
        <w:spacing w:after="60"/>
      </w:pPr>
      <w:r>
        <w:t>Vision internationale</w:t>
      </w:r>
    </w:p>
    <w:p>
      <w:pPr>
        <w:pStyle w:val="ListBullet"/>
        <w:spacing w:after="60"/>
      </w:pPr>
      <w:r>
        <w:t>Leadership et confiance</w:t>
      </w:r>
    </w:p>
    <w:p>
      <w:pPr>
        <w:pStyle w:val="ListBullet"/>
        <w:spacing w:after="60"/>
      </w:pPr>
      <w:r>
        <w:t>Innovation et développement</w:t>
      </w:r>
    </w:p>
    <w:p>
      <w:pPr>
        <w:pStyle w:val="ListBullet"/>
        <w:spacing w:after="60"/>
      </w:pPr>
      <w:r>
        <w:t>Prospérité et création de valeur</w:t>
      </w:r>
    </w:p>
    <w:p>
      <w:pPr>
        <w:pStyle w:val="Heading1"/>
      </w:pPr>
      <w:r>
        <w:t>2. Logo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GPT Image 20 août 2026, 17_09_3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Le logo combine un globe, un monogramme O/G et une dynamique circulaire évoquant la progression et l’ouverture internationale.</w:t>
      </w:r>
    </w:p>
    <w:p>
      <w:pPr>
        <w:pStyle w:val="ListBullet"/>
        <w:spacing w:after="60"/>
      </w:pPr>
      <w:r>
        <w:t>Symbole : globe + monogramme + mouvement de progression.</w:t>
      </w:r>
    </w:p>
    <w:p>
      <w:pPr>
        <w:pStyle w:val="ListBullet"/>
        <w:spacing w:after="60"/>
      </w:pPr>
      <w:r>
        <w:t>Wordmark : OLUMERIUM en capitales, avec une esthétique serif institutionnelle.</w:t>
      </w:r>
    </w:p>
    <w:p>
      <w:pPr>
        <w:pStyle w:val="ListBullet"/>
        <w:spacing w:after="60"/>
      </w:pPr>
      <w:r>
        <w:t>Sous-marque : GROUP en bleu avec un espacement important.</w:t>
      </w:r>
    </w:p>
    <w:p>
      <w:pPr>
        <w:pStyle w:val="ListBullet"/>
        <w:spacing w:after="60"/>
      </w:pPr>
      <w:r>
        <w:t>Signature : ÉCLAIRER LE PROGRÈS. BÂTIR LA PROSPÉRITÉ.</w:t>
      </w:r>
    </w:p>
    <w:p>
      <w:pPr>
        <w:pStyle w:val="Heading1"/>
      </w:pPr>
      <w:r>
        <w:t>3. Palette de couleurs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020814"/>
          </w:tcPr>
          <w:p>
            <w:pPr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20"/>
              </w:rPr>
              <w:t>Couleur</w:t>
            </w:r>
          </w:p>
        </w:tc>
        <w:tc>
          <w:tcPr>
            <w:tcW w:type="dxa" w:w="2016"/>
            <w:vAlign w:val="center"/>
            <w:shd w:fill="020814"/>
          </w:tcPr>
          <w:p>
            <w:pPr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20"/>
              </w:rPr>
              <w:t>HEX</w:t>
            </w:r>
          </w:p>
        </w:tc>
        <w:tc>
          <w:tcPr>
            <w:tcW w:type="dxa" w:w="2016"/>
            <w:vAlign w:val="center"/>
            <w:shd w:fill="020814"/>
          </w:tcPr>
          <w:p>
            <w:pPr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20"/>
              </w:rPr>
              <w:t>RGB</w:t>
            </w:r>
          </w:p>
        </w:tc>
        <w:tc>
          <w:tcPr>
            <w:tcW w:type="dxa" w:w="2016"/>
            <w:vAlign w:val="center"/>
            <w:shd w:fill="020814"/>
          </w:tcPr>
          <w:p>
            <w:pPr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20"/>
              </w:rPr>
              <w:t>Rôle</w:t>
            </w:r>
          </w:p>
        </w:tc>
        <w:tc>
          <w:tcPr>
            <w:tcW w:type="dxa" w:w="2016"/>
            <w:vAlign w:val="center"/>
            <w:shd w:fill="020814"/>
          </w:tcPr>
          <w:p>
            <w:pPr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20"/>
              </w:rPr>
              <w:t>Aperçu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Montserrat" w:hAnsi="Montserrat"/>
                <w:b/>
                <w:color w:val="333333"/>
                <w:sz w:val="18"/>
              </w:rPr>
              <w:t>Bleu Nuit Premium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Montserrat" w:hAnsi="Montserrat"/>
                <w:b w:val="0"/>
                <w:color w:val="333333"/>
                <w:sz w:val="18"/>
              </w:rPr>
              <w:t>#020814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Montserrat" w:hAnsi="Montserrat"/>
                <w:b w:val="0"/>
                <w:color w:val="333333"/>
                <w:sz w:val="18"/>
              </w:rPr>
              <w:t>2, 8, 20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Montserrat" w:hAnsi="Montserrat"/>
                <w:b w:val="0"/>
                <w:color w:val="333333"/>
                <w:sz w:val="18"/>
              </w:rPr>
              <w:t>Fonds principaux</w:t>
            </w:r>
          </w:p>
        </w:tc>
        <w:tc>
          <w:tcPr>
            <w:tcW w:type="dxa" w:w="2016"/>
            <w:vAlign w:val="center"/>
            <w:shd w:fill="020814"/>
          </w:tcPr>
          <w:p>
            <w:pPr>
              <w:jc w:val="center"/>
            </w:pPr>
            <w:r/>
            <w:r>
              <w:rPr>
                <w:rFonts w:ascii="Montserrat" w:hAnsi="Montserrat"/>
                <w:b w:val="0"/>
                <w:color w:val="FFFFFF"/>
                <w:sz w:val="18"/>
              </w:rPr>
              <w:t xml:space="preserve">     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Montserrat" w:hAnsi="Montserrat"/>
                <w:b/>
                <w:color w:val="333333"/>
                <w:sz w:val="18"/>
              </w:rPr>
              <w:t>Bleu Corporate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Montserrat" w:hAnsi="Montserrat"/>
                <w:b w:val="0"/>
                <w:color w:val="333333"/>
                <w:sz w:val="18"/>
              </w:rPr>
              <w:t>#0B2A54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Montserrat" w:hAnsi="Montserrat"/>
                <w:b w:val="0"/>
                <w:color w:val="333333"/>
                <w:sz w:val="18"/>
              </w:rPr>
              <w:t>11, 42, 84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Montserrat" w:hAnsi="Montserrat"/>
                <w:b w:val="0"/>
                <w:color w:val="333333"/>
                <w:sz w:val="18"/>
              </w:rPr>
              <w:t>Titres / logo</w:t>
            </w:r>
          </w:p>
        </w:tc>
        <w:tc>
          <w:tcPr>
            <w:tcW w:type="dxa" w:w="2016"/>
            <w:vAlign w:val="center"/>
            <w:shd w:fill="0B2A54"/>
          </w:tcPr>
          <w:p>
            <w:pPr>
              <w:jc w:val="center"/>
            </w:pPr>
            <w:r/>
            <w:r>
              <w:rPr>
                <w:rFonts w:ascii="Montserrat" w:hAnsi="Montserrat"/>
                <w:b w:val="0"/>
                <w:color w:val="FFFFFF"/>
                <w:sz w:val="18"/>
              </w:rPr>
              <w:t xml:space="preserve">     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Montserrat" w:hAnsi="Montserrat"/>
                <w:b/>
                <w:color w:val="333333"/>
                <w:sz w:val="18"/>
              </w:rPr>
              <w:t>Bleu Royal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Montserrat" w:hAnsi="Montserrat"/>
                <w:b w:val="0"/>
                <w:color w:val="333333"/>
                <w:sz w:val="18"/>
              </w:rPr>
              <w:t>#1555A0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Montserrat" w:hAnsi="Montserrat"/>
                <w:b w:val="0"/>
                <w:color w:val="333333"/>
                <w:sz w:val="18"/>
              </w:rPr>
              <w:t>21, 85, 160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Montserrat" w:hAnsi="Montserrat"/>
                <w:b w:val="0"/>
                <w:color w:val="333333"/>
                <w:sz w:val="18"/>
              </w:rPr>
              <w:t>Accent digital</w:t>
            </w:r>
          </w:p>
        </w:tc>
        <w:tc>
          <w:tcPr>
            <w:tcW w:type="dxa" w:w="2016"/>
            <w:vAlign w:val="center"/>
            <w:shd w:fill="1555A0"/>
          </w:tcPr>
          <w:p>
            <w:pPr>
              <w:jc w:val="center"/>
            </w:pPr>
            <w:r/>
            <w:r>
              <w:rPr>
                <w:rFonts w:ascii="Montserrat" w:hAnsi="Montserrat"/>
                <w:b w:val="0"/>
                <w:color w:val="FFFFFF"/>
                <w:sz w:val="18"/>
              </w:rPr>
              <w:t xml:space="preserve">     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Montserrat" w:hAnsi="Montserrat"/>
                <w:b/>
                <w:color w:val="333333"/>
                <w:sz w:val="18"/>
              </w:rPr>
              <w:t>Or Principal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Montserrat" w:hAnsi="Montserrat"/>
                <w:b w:val="0"/>
                <w:color w:val="333333"/>
                <w:sz w:val="18"/>
              </w:rPr>
              <w:t>#C9972B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Montserrat" w:hAnsi="Montserrat"/>
                <w:b w:val="0"/>
                <w:color w:val="333333"/>
                <w:sz w:val="18"/>
              </w:rPr>
              <w:t>201, 151, 43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Montserrat" w:hAnsi="Montserrat"/>
                <w:b w:val="0"/>
                <w:color w:val="333333"/>
                <w:sz w:val="18"/>
              </w:rPr>
              <w:t>Éléments premium</w:t>
            </w:r>
          </w:p>
        </w:tc>
        <w:tc>
          <w:tcPr>
            <w:tcW w:type="dxa" w:w="2016"/>
            <w:vAlign w:val="center"/>
            <w:shd w:fill="C9972B"/>
          </w:tcPr>
          <w:p>
            <w:pPr>
              <w:jc w:val="center"/>
            </w:pPr>
            <w:r/>
            <w:r>
              <w:rPr>
                <w:rFonts w:ascii="Montserrat" w:hAnsi="Montserrat"/>
                <w:b w:val="0"/>
                <w:color w:val="FFFFFF"/>
                <w:sz w:val="18"/>
              </w:rPr>
              <w:t xml:space="preserve">     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Montserrat" w:hAnsi="Montserrat"/>
                <w:b/>
                <w:color w:val="333333"/>
                <w:sz w:val="18"/>
              </w:rPr>
              <w:t>Or Clair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Montserrat" w:hAnsi="Montserrat"/>
                <w:b w:val="0"/>
                <w:color w:val="333333"/>
                <w:sz w:val="18"/>
              </w:rPr>
              <w:t>#F2C866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Montserrat" w:hAnsi="Montserrat"/>
                <w:b w:val="0"/>
                <w:color w:val="333333"/>
                <w:sz w:val="18"/>
              </w:rPr>
              <w:t>242, 200, 102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Montserrat" w:hAnsi="Montserrat"/>
                <w:b w:val="0"/>
                <w:color w:val="333333"/>
                <w:sz w:val="18"/>
              </w:rPr>
              <w:t>Highlights</w:t>
            </w:r>
          </w:p>
        </w:tc>
        <w:tc>
          <w:tcPr>
            <w:tcW w:type="dxa" w:w="2016"/>
            <w:vAlign w:val="center"/>
            <w:shd w:fill="F2C866"/>
          </w:tcPr>
          <w:p>
            <w:pPr>
              <w:jc w:val="center"/>
            </w:pPr>
            <w:r/>
            <w:r>
              <w:rPr>
                <w:rFonts w:ascii="Montserrat" w:hAnsi="Montserrat"/>
                <w:b w:val="0"/>
                <w:color w:val="FFFFFF"/>
                <w:sz w:val="18"/>
              </w:rPr>
              <w:t xml:space="preserve">     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Montserrat" w:hAnsi="Montserrat"/>
                <w:b/>
                <w:color w:val="333333"/>
                <w:sz w:val="18"/>
              </w:rPr>
              <w:t>Or Champagne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Montserrat" w:hAnsi="Montserrat"/>
                <w:b w:val="0"/>
                <w:color w:val="333333"/>
                <w:sz w:val="18"/>
              </w:rPr>
              <w:t>#E6B94F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Montserrat" w:hAnsi="Montserrat"/>
                <w:b w:val="0"/>
                <w:color w:val="333333"/>
                <w:sz w:val="18"/>
              </w:rPr>
              <w:t>230, 185, 79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Montserrat" w:hAnsi="Montserrat"/>
                <w:b w:val="0"/>
                <w:color w:val="333333"/>
                <w:sz w:val="18"/>
              </w:rPr>
              <w:t>Supports premium</w:t>
            </w:r>
          </w:p>
        </w:tc>
        <w:tc>
          <w:tcPr>
            <w:tcW w:type="dxa" w:w="2016"/>
            <w:vAlign w:val="center"/>
            <w:shd w:fill="E6B94F"/>
          </w:tcPr>
          <w:p>
            <w:pPr>
              <w:jc w:val="center"/>
            </w:pPr>
            <w:r/>
            <w:r>
              <w:rPr>
                <w:rFonts w:ascii="Montserrat" w:hAnsi="Montserrat"/>
                <w:b w:val="0"/>
                <w:color w:val="FFFFFF"/>
                <w:sz w:val="18"/>
              </w:rPr>
              <w:t xml:space="preserve">     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Montserrat" w:hAnsi="Montserrat"/>
                <w:b/>
                <w:color w:val="333333"/>
                <w:sz w:val="18"/>
              </w:rPr>
              <w:t>Blanc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Montserrat" w:hAnsi="Montserrat"/>
                <w:b w:val="0"/>
                <w:color w:val="333333"/>
                <w:sz w:val="18"/>
              </w:rPr>
              <w:t>#FFFFFF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Montserrat" w:hAnsi="Montserrat"/>
                <w:b w:val="0"/>
                <w:color w:val="333333"/>
                <w:sz w:val="18"/>
              </w:rPr>
              <w:t>255, 255, 255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Montserrat" w:hAnsi="Montserrat"/>
                <w:b w:val="0"/>
                <w:color w:val="333333"/>
                <w:sz w:val="18"/>
              </w:rPr>
              <w:t>Texte sur fond sombre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jc w:val="center"/>
            </w:pPr>
            <w:r/>
            <w:r>
              <w:rPr>
                <w:rFonts w:ascii="Montserrat" w:hAnsi="Montserrat"/>
                <w:b w:val="0"/>
                <w:color w:val="FFFFFF"/>
                <w:sz w:val="18"/>
              </w:rPr>
              <w:t xml:space="preserve">     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Montserrat" w:hAnsi="Montserrat"/>
                <w:b/>
                <w:color w:val="333333"/>
                <w:sz w:val="18"/>
              </w:rPr>
              <w:t>Gris Perle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Montserrat" w:hAnsi="Montserrat"/>
                <w:b w:val="0"/>
                <w:color w:val="333333"/>
                <w:sz w:val="18"/>
              </w:rPr>
              <w:t>#D9DEE5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Montserrat" w:hAnsi="Montserrat"/>
                <w:b w:val="0"/>
                <w:color w:val="333333"/>
                <w:sz w:val="18"/>
              </w:rPr>
              <w:t>217, 222, 229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Montserrat" w:hAnsi="Montserrat"/>
                <w:b w:val="0"/>
                <w:color w:val="333333"/>
                <w:sz w:val="18"/>
              </w:rPr>
              <w:t>Texte secondaire</w:t>
            </w:r>
          </w:p>
        </w:tc>
        <w:tc>
          <w:tcPr>
            <w:tcW w:type="dxa" w:w="2016"/>
            <w:vAlign w:val="center"/>
            <w:shd w:fill="D9DEE5"/>
          </w:tcPr>
          <w:p>
            <w:pPr>
              <w:jc w:val="center"/>
            </w:pPr>
            <w:r/>
            <w:r>
              <w:rPr>
                <w:rFonts w:ascii="Montserrat" w:hAnsi="Montserrat"/>
                <w:b w:val="0"/>
                <w:color w:val="FFFFFF"/>
                <w:sz w:val="18"/>
              </w:rPr>
              <w:t xml:space="preserve">     </w:t>
            </w:r>
          </w:p>
        </w:tc>
      </w:tr>
    </w:tbl>
    <w:p>
      <w:pPr>
        <w:pStyle w:val="Heading2"/>
      </w:pPr>
      <w:r>
        <w:t>Dégradés recommandés</w:t>
      </w:r>
    </w:p>
    <w:p>
      <w:pPr>
        <w:pStyle w:val="ListBullet"/>
        <w:spacing w:after="60"/>
      </w:pPr>
      <w:r>
        <w:t>Dégradé Or : #8C6418 → #C9972B → #F2C866 → #C9972B.</w:t>
      </w:r>
    </w:p>
    <w:p>
      <w:pPr>
        <w:pStyle w:val="ListBullet"/>
        <w:spacing w:after="60"/>
      </w:pPr>
      <w:r>
        <w:t>Dégradé Bleu : #020814 → #071C3A → #0B2A54.</w:t>
      </w:r>
    </w:p>
    <w:p>
      <w:pPr>
        <w:pStyle w:val="Heading1"/>
      </w:pPr>
      <w:r>
        <w:t>4. Typographie</w:t>
      </w:r>
    </w:p>
    <w:p>
      <w:r>
        <w:rPr>
          <w:b/>
        </w:rPr>
        <w:t xml:space="preserve">Typographie principale : </w:t>
      </w:r>
      <w:r>
        <w:t>Cormorant Garamond — titres, communications institutionnelles et supports premium.</w:t>
      </w:r>
    </w:p>
    <w:p>
      <w:r>
        <w:rPr>
          <w:b/>
        </w:rPr>
        <w:t xml:space="preserve">Typographie secondaire : </w:t>
      </w:r>
      <w:r>
        <w:t>Montserrat — textes, menus, boutons et documents commerciaux.</w:t>
      </w:r>
    </w:p>
    <w:p>
      <w:r>
        <w:rPr>
          <w:b/>
        </w:rPr>
        <w:t xml:space="preserve">Alternative digitale : </w:t>
      </w:r>
      <w:r>
        <w:t>Inter — interfaces web et applications.</w:t>
      </w:r>
    </w:p>
    <w:p>
      <w:pPr>
        <w:pStyle w:val="Heading2"/>
      </w:pPr>
      <w:r>
        <w:t>Hiérarchie</w:t>
      </w:r>
    </w:p>
    <w:p>
      <w:pPr>
        <w:pStyle w:val="ListBullet"/>
        <w:spacing w:after="60"/>
      </w:pPr>
      <w:r>
        <w:t>H1 : Cormorant Garamond Bold — 36 à 64 px.</w:t>
      </w:r>
    </w:p>
    <w:p>
      <w:pPr>
        <w:pStyle w:val="ListBullet"/>
        <w:spacing w:after="60"/>
      </w:pPr>
      <w:r>
        <w:t>H2 : Cormorant Garamond SemiBold — 28 à 42 px.</w:t>
      </w:r>
    </w:p>
    <w:p>
      <w:pPr>
        <w:pStyle w:val="ListBullet"/>
        <w:spacing w:after="60"/>
      </w:pPr>
      <w:r>
        <w:t>H3 : Montserrat SemiBold — 20 à 28 px.</w:t>
      </w:r>
    </w:p>
    <w:p>
      <w:pPr>
        <w:pStyle w:val="ListBullet"/>
        <w:spacing w:after="60"/>
      </w:pPr>
      <w:r>
        <w:t>Texte : Montserrat Regular — 14 à 18 px.</w:t>
      </w:r>
    </w:p>
    <w:p>
      <w:pPr>
        <w:pStyle w:val="ListBullet"/>
        <w:spacing w:after="60"/>
      </w:pPr>
      <w:r>
        <w:t>Labels : Montserrat Medium — 10 à 13 px, capitales et espacement augmenté.</w:t>
      </w:r>
    </w:p>
    <w:p>
      <w:pPr>
        <w:pStyle w:val="Heading1"/>
      </w:pPr>
      <w:r>
        <w:t>5. Direction artistique</w:t>
      </w:r>
    </w:p>
    <w:p>
      <w:r>
        <w:rPr>
          <w:b/>
        </w:rPr>
        <w:t xml:space="preserve">Univers : </w:t>
      </w:r>
      <w:r>
        <w:t>Luxury Corporate + Finance + International + Innovation.</w:t>
      </w:r>
    </w:p>
    <w:p>
      <w:pPr>
        <w:pStyle w:val="Heading2"/>
      </w:pPr>
      <w:r>
        <w:t>Éléments graphiques</w:t>
      </w:r>
    </w:p>
    <w:p>
      <w:pPr>
        <w:pStyle w:val="ListBullet"/>
        <w:spacing w:after="60"/>
      </w:pPr>
      <w:r>
        <w:t>Lignes fines dorées</w:t>
      </w:r>
    </w:p>
    <w:p>
      <w:pPr>
        <w:pStyle w:val="ListBullet"/>
        <w:spacing w:after="60"/>
      </w:pPr>
      <w:r>
        <w:t>Cercles et arcs</w:t>
      </w:r>
    </w:p>
    <w:p>
      <w:pPr>
        <w:pStyle w:val="ListBullet"/>
        <w:spacing w:after="60"/>
      </w:pPr>
      <w:r>
        <w:t>Grilles géométriques</w:t>
      </w:r>
    </w:p>
    <w:p>
      <w:pPr>
        <w:pStyle w:val="ListBullet"/>
        <w:spacing w:after="60"/>
      </w:pPr>
      <w:r>
        <w:t>Globe et lignes de connexion</w:t>
      </w:r>
    </w:p>
    <w:p>
      <w:pPr>
        <w:pStyle w:val="ListBullet"/>
        <w:spacing w:after="60"/>
      </w:pPr>
      <w:r>
        <w:t>Particules discrètes</w:t>
      </w:r>
    </w:p>
    <w:p>
      <w:pPr>
        <w:pStyle w:val="ListBullet"/>
        <w:spacing w:after="60"/>
      </w:pPr>
      <w:r>
        <w:t>Effets métalliques maîtrisés</w:t>
      </w:r>
    </w:p>
    <w:p>
      <w:pPr>
        <w:pStyle w:val="ListBullet"/>
        <w:spacing w:after="60"/>
      </w:pPr>
      <w:r>
        <w:t>Ombres profondes et dégradés bleu nuit</w:t>
      </w:r>
    </w:p>
    <w:p>
      <w:pPr>
        <w:pStyle w:val="Heading2"/>
      </w:pPr>
      <w:r>
        <w:t>Style photographique</w:t>
      </w:r>
    </w:p>
    <w:p>
      <w:pPr>
        <w:pStyle w:val="ListBullet"/>
        <w:spacing w:after="60"/>
      </w:pPr>
      <w:r>
        <w:t>Architecture moderne</w:t>
      </w:r>
    </w:p>
    <w:p>
      <w:pPr>
        <w:pStyle w:val="ListBullet"/>
        <w:spacing w:after="60"/>
      </w:pPr>
      <w:r>
        <w:t>Afrique contemporaine</w:t>
      </w:r>
    </w:p>
    <w:p>
      <w:pPr>
        <w:pStyle w:val="ListBullet"/>
        <w:spacing w:after="60"/>
      </w:pPr>
      <w:r>
        <w:t>Finance et investissement</w:t>
      </w:r>
    </w:p>
    <w:p>
      <w:pPr>
        <w:pStyle w:val="ListBullet"/>
        <w:spacing w:after="60"/>
      </w:pPr>
      <w:r>
        <w:t>Innovation et technologie</w:t>
      </w:r>
    </w:p>
    <w:p>
      <w:pPr>
        <w:pStyle w:val="ListBullet"/>
        <w:spacing w:after="60"/>
      </w:pPr>
      <w:r>
        <w:t>Entrepreneurs et dirigeants</w:t>
      </w:r>
    </w:p>
    <w:p>
      <w:pPr>
        <w:pStyle w:val="ListBullet"/>
        <w:spacing w:after="60"/>
      </w:pPr>
      <w:r>
        <w:t>Infrastructures, énergie et immobilier</w:t>
      </w:r>
    </w:p>
    <w:p>
      <w:pPr>
        <w:pStyle w:val="ListBullet"/>
        <w:spacing w:after="60"/>
      </w:pPr>
      <w:r>
        <w:t>Traitement sombre avec touches bleues et dorées</w:t>
      </w:r>
    </w:p>
    <w:p>
      <w:pPr>
        <w:pStyle w:val="Heading1"/>
      </w:pPr>
      <w:r>
        <w:t>6. Iconographie</w:t>
      </w:r>
    </w:p>
    <w:p>
      <w:pPr>
        <w:pStyle w:val="ListBullet"/>
        <w:spacing w:after="60"/>
      </w:pPr>
      <w:r>
        <w:t>Icônes minimalistes, géométriques et fines.</w:t>
      </w:r>
    </w:p>
    <w:p>
      <w:pPr>
        <w:pStyle w:val="ListBullet"/>
        <w:spacing w:after="60"/>
      </w:pPr>
      <w:r>
        <w:t>Privilégier les line icons.</w:t>
      </w:r>
    </w:p>
    <w:p>
      <w:pPr>
        <w:pStyle w:val="ListBullet"/>
        <w:spacing w:after="60"/>
      </w:pPr>
      <w:r>
        <w:t>Couleurs : Or #C9972B, Bleu #0B2A54, Blanc sur fonds sombres.</w:t>
      </w:r>
    </w:p>
    <w:p>
      <w:pPr>
        <w:pStyle w:val="ListBullet"/>
        <w:spacing w:after="60"/>
      </w:pPr>
      <w:r>
        <w:t>Éviter les styles cartoon ou excessivement arrondis.</w:t>
      </w:r>
    </w:p>
    <w:p>
      <w:pPr>
        <w:pStyle w:val="Heading1"/>
      </w:pPr>
      <w:r>
        <w:t>7. Règles d’utilisation du logo</w:t>
      </w:r>
    </w:p>
    <w:p>
      <w:pPr>
        <w:pStyle w:val="Heading2"/>
      </w:pPr>
      <w:r>
        <w:t>Zone de protection</w:t>
      </w:r>
    </w:p>
    <w:p>
      <w:r>
        <w:t>Définir une zone de respiration autour du logo équivalente à la largeur du « O » du symbole. Aucun texte, image ou élément graphique ne doit pénétrer cette zone.</w:t>
      </w:r>
    </w:p>
    <w:p>
      <w:pPr>
        <w:pStyle w:val="Heading2"/>
      </w:pPr>
      <w:r>
        <w:t>Taille minimale</w:t>
      </w:r>
    </w:p>
    <w:p>
      <w:pPr>
        <w:pStyle w:val="ListBullet"/>
        <w:spacing w:after="60"/>
      </w:pPr>
      <w:r>
        <w:t>Digital : 180 px de largeur minimum pour le logo complet.</w:t>
      </w:r>
    </w:p>
    <w:p>
      <w:pPr>
        <w:pStyle w:val="ListBullet"/>
        <w:spacing w:after="60"/>
      </w:pPr>
      <w:r>
        <w:t>Impression : 35 mm de largeur minimum.</w:t>
      </w:r>
    </w:p>
    <w:p>
      <w:pPr>
        <w:pStyle w:val="ListBullet"/>
        <w:spacing w:after="60"/>
      </w:pPr>
      <w:r>
        <w:t>Pour les petites tailles : utiliser le symbole seul.</w:t>
      </w:r>
    </w:p>
    <w:p>
      <w:pPr>
        <w:pStyle w:val="Heading2"/>
      </w:pPr>
      <w:r>
        <w:t>Versions recommandées</w:t>
      </w:r>
    </w:p>
    <w:p>
      <w:pPr>
        <w:pStyle w:val="ListBullet"/>
        <w:spacing w:after="60"/>
      </w:pPr>
      <w:r>
        <w:t>Version principale : fond bleu nuit + logo or/bleu.</w:t>
      </w:r>
    </w:p>
    <w:p>
      <w:pPr>
        <w:pStyle w:val="ListBullet"/>
        <w:spacing w:after="60"/>
      </w:pPr>
      <w:r>
        <w:t>Version claire : logo bleu + or sur fond blanc.</w:t>
      </w:r>
    </w:p>
    <w:p>
      <w:pPr>
        <w:pStyle w:val="ListBullet"/>
        <w:spacing w:after="60"/>
      </w:pPr>
      <w:r>
        <w:t>Version monochrome noire : documents et impressions monochromes.</w:t>
      </w:r>
    </w:p>
    <w:p>
      <w:pPr>
        <w:pStyle w:val="ListBullet"/>
        <w:spacing w:after="60"/>
      </w:pPr>
      <w:r>
        <w:t>Version monochrome blanche : fonds sombres et photographiques.</w:t>
      </w:r>
    </w:p>
    <w:p>
      <w:pPr>
        <w:pStyle w:val="ListBullet"/>
        <w:spacing w:after="60"/>
      </w:pPr>
      <w:r>
        <w:t>Symbole seul : favicon, réseaux sociaux, application, watermark.</w:t>
      </w:r>
    </w:p>
    <w:p>
      <w:pPr>
        <w:pStyle w:val="Heading2"/>
      </w:pPr>
      <w:r>
        <w:t>Utilisations interdites</w:t>
      </w:r>
    </w:p>
    <w:p>
      <w:pPr>
        <w:pStyle w:val="ListBullet"/>
        <w:spacing w:after="60"/>
      </w:pPr>
      <w:r>
        <w:t>Ne pas déformer ou étirer le logo.</w:t>
      </w:r>
    </w:p>
    <w:p>
      <w:pPr>
        <w:pStyle w:val="ListBullet"/>
        <w:spacing w:after="60"/>
      </w:pPr>
      <w:r>
        <w:t>Ne pas l’incliner.</w:t>
      </w:r>
    </w:p>
    <w:p>
      <w:pPr>
        <w:pStyle w:val="ListBullet"/>
        <w:spacing w:after="60"/>
      </w:pPr>
      <w:r>
        <w:t>Ne pas modifier ses couleurs.</w:t>
      </w:r>
    </w:p>
    <w:p>
      <w:pPr>
        <w:pStyle w:val="ListBullet"/>
        <w:spacing w:after="60"/>
      </w:pPr>
      <w:r>
        <w:t>Ne pas le placer sur un fond trop chargé.</w:t>
      </w:r>
    </w:p>
    <w:p>
      <w:pPr>
        <w:pStyle w:val="ListBullet"/>
        <w:spacing w:after="60"/>
      </w:pPr>
      <w:r>
        <w:t>Ne pas ajouter d’effets artificiels excessifs.</w:t>
      </w:r>
    </w:p>
    <w:p>
      <w:pPr>
        <w:pStyle w:val="ListBullet"/>
        <w:spacing w:after="60"/>
      </w:pPr>
      <w:r>
        <w:t>Ne pas modifier la composition du symbole ou du wordmark.</w:t>
      </w:r>
    </w:p>
    <w:p>
      <w:pPr>
        <w:pStyle w:val="Heading1"/>
      </w:pPr>
      <w:r>
        <w:t>8. Applications de marque</w:t>
      </w:r>
    </w:p>
    <w:p>
      <w:pPr>
        <w:pStyle w:val="Heading2"/>
      </w:pPr>
      <w:r>
        <w:t>Carte de visite</w:t>
      </w:r>
    </w:p>
    <w:p>
      <w:r>
        <w:t>Recto : fond Bleu Nuit, logo Or, informations en Blanc/Or. Verso : symbole O/G en transparence et signature de marque.</w:t>
      </w:r>
    </w:p>
    <w:p>
      <w:pPr>
        <w:pStyle w:val="Heading2"/>
      </w:pPr>
      <w:r>
        <w:t>Papier à en-tête</w:t>
      </w:r>
    </w:p>
    <w:p>
      <w:r>
        <w:t>Logo en haut, fine ligne dorée, corps blanc, titres Bleu Nuit, éléments importants en Or et pied de page discret.</w:t>
      </w:r>
    </w:p>
    <w:p>
      <w:pPr>
        <w:pStyle w:val="Heading2"/>
      </w:pPr>
      <w:r>
        <w:t>Présentation PowerPoint</w:t>
      </w:r>
    </w:p>
    <w:p>
      <w:r>
        <w:t>Couverture bleu nuit avec logo et titre or. Slides internes blanc ou bleu très clair, chiffres clés en or et graphiques en bleu/or.</w:t>
      </w:r>
    </w:p>
    <w:p>
      <w:pPr>
        <w:pStyle w:val="Heading2"/>
      </w:pPr>
      <w:r>
        <w:t>Site web</w:t>
      </w:r>
    </w:p>
    <w:p>
      <w:r>
        <w:t>Header bleu nuit, logo or/bleu, navigation blanche, CTA or. Hero sombre avec visuels internationaux, technologiques ou institutionnels.</w:t>
      </w:r>
    </w:p>
    <w:p>
      <w:pPr>
        <w:pStyle w:val="Heading2"/>
      </w:pPr>
      <w:r>
        <w:t>Réseaux sociaux</w:t>
      </w:r>
    </w:p>
    <w:p>
      <w:r>
        <w:t>Formats dominés par Bleu Nuit + Or, beaucoup d’espace négatif, lignes fines et signature de marque.</w:t>
      </w:r>
    </w:p>
    <w:p>
      <w:pPr>
        <w:pStyle w:val="Heading1"/>
      </w:pPr>
      <w:r>
        <w:t>9. Ton de communication</w:t>
      </w:r>
    </w:p>
    <w:p>
      <w:pPr>
        <w:pStyle w:val="ListBullet"/>
        <w:spacing w:after="60"/>
      </w:pPr>
      <w:r>
        <w:t>Institutionnel</w:t>
      </w:r>
    </w:p>
    <w:p>
      <w:pPr>
        <w:pStyle w:val="ListBullet"/>
        <w:spacing w:after="60"/>
      </w:pPr>
      <w:r>
        <w:t>Ambitieux</w:t>
      </w:r>
    </w:p>
    <w:p>
      <w:pPr>
        <w:pStyle w:val="ListBullet"/>
        <w:spacing w:after="60"/>
      </w:pPr>
      <w:r>
        <w:t>Élégant</w:t>
      </w:r>
    </w:p>
    <w:p>
      <w:pPr>
        <w:pStyle w:val="ListBullet"/>
        <w:spacing w:after="60"/>
      </w:pPr>
      <w:r>
        <w:t>Visionnaire</w:t>
      </w:r>
    </w:p>
    <w:p>
      <w:pPr>
        <w:pStyle w:val="ListBullet"/>
        <w:spacing w:after="60"/>
      </w:pPr>
      <w:r>
        <w:t>Confiant</w:t>
      </w:r>
    </w:p>
    <w:p>
      <w:pPr>
        <w:pStyle w:val="ListBullet"/>
        <w:spacing w:after="60"/>
      </w:pPr>
      <w:r>
        <w:t>Professionnel</w:t>
      </w:r>
    </w:p>
    <w:p>
      <w:r>
        <w:rPr>
          <w:b/>
        </w:rPr>
        <w:t xml:space="preserve">Exemple recommandé : </w:t>
      </w:r>
      <w:r>
        <w:t>« Nous construisons aujourd'hui les opportunités qui façonneront la prospérité de demain. »</w:t>
      </w:r>
    </w:p>
    <w:p>
      <w:pPr>
        <w:pStyle w:val="Heading1"/>
      </w:pPr>
      <w:r>
        <w:t>10. ADN visuel — résumé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020814"/>
          </w:tcPr>
          <w:p>
            <w:pPr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20"/>
              </w:rPr>
              <w:t>Élément</w:t>
            </w:r>
          </w:p>
        </w:tc>
        <w:tc>
          <w:tcPr>
            <w:tcW w:type="dxa" w:w="5040"/>
            <w:vAlign w:val="center"/>
            <w:shd w:fill="020814"/>
          </w:tcPr>
          <w:p>
            <w:pPr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20"/>
              </w:rPr>
              <w:t>Direction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rFonts w:ascii="Montserrat" w:hAnsi="Montserrat"/>
                <w:b/>
                <w:color w:val="333333"/>
                <w:sz w:val="18"/>
              </w:rPr>
              <w:t>Positionnement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rFonts w:ascii="Montserrat" w:hAnsi="Montserrat"/>
                <w:b w:val="0"/>
                <w:color w:val="333333"/>
                <w:sz w:val="18"/>
              </w:rPr>
              <w:t>Groupe international premium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rFonts w:ascii="Montserrat" w:hAnsi="Montserrat"/>
                <w:b/>
                <w:color w:val="333333"/>
                <w:sz w:val="18"/>
              </w:rPr>
              <w:t>Couleur principale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rFonts w:ascii="Montserrat" w:hAnsi="Montserrat"/>
                <w:b w:val="0"/>
                <w:color w:val="333333"/>
                <w:sz w:val="18"/>
              </w:rPr>
              <w:t>Bleu Nuit #020814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rFonts w:ascii="Montserrat" w:hAnsi="Montserrat"/>
                <w:b/>
                <w:color w:val="333333"/>
                <w:sz w:val="18"/>
              </w:rPr>
              <w:t>Couleur secondaire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rFonts w:ascii="Montserrat" w:hAnsi="Montserrat"/>
                <w:b w:val="0"/>
                <w:color w:val="333333"/>
                <w:sz w:val="18"/>
              </w:rPr>
              <w:t>Or #C9972B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rFonts w:ascii="Montserrat" w:hAnsi="Montserrat"/>
                <w:b/>
                <w:color w:val="333333"/>
                <w:sz w:val="18"/>
              </w:rPr>
              <w:t>Style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rFonts w:ascii="Montserrat" w:hAnsi="Montserrat"/>
                <w:b w:val="0"/>
                <w:color w:val="333333"/>
                <w:sz w:val="18"/>
              </w:rPr>
              <w:t>Luxury Corporate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rFonts w:ascii="Montserrat" w:hAnsi="Montserrat"/>
                <w:b/>
                <w:color w:val="333333"/>
                <w:sz w:val="18"/>
              </w:rPr>
              <w:t>Symbole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rFonts w:ascii="Montserrat" w:hAnsi="Montserrat"/>
                <w:b w:val="0"/>
                <w:color w:val="333333"/>
                <w:sz w:val="18"/>
              </w:rPr>
              <w:t>Globe + monogramme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rFonts w:ascii="Montserrat" w:hAnsi="Montserrat"/>
                <w:b/>
                <w:color w:val="333333"/>
                <w:sz w:val="18"/>
              </w:rPr>
              <w:t>Typographie titres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rFonts w:ascii="Montserrat" w:hAnsi="Montserrat"/>
                <w:b w:val="0"/>
                <w:color w:val="333333"/>
                <w:sz w:val="18"/>
              </w:rPr>
              <w:t>Cormorant Garamond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rFonts w:ascii="Montserrat" w:hAnsi="Montserrat"/>
                <w:b/>
                <w:color w:val="333333"/>
                <w:sz w:val="18"/>
              </w:rPr>
              <w:t>Typographie texte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rFonts w:ascii="Montserrat" w:hAnsi="Montserrat"/>
                <w:b w:val="0"/>
                <w:color w:val="333333"/>
                <w:sz w:val="18"/>
              </w:rPr>
              <w:t>Montserrat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rFonts w:ascii="Montserrat" w:hAnsi="Montserrat"/>
                <w:b/>
                <w:color w:val="333333"/>
                <w:sz w:val="18"/>
              </w:rPr>
              <w:t>Style photo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rFonts w:ascii="Montserrat" w:hAnsi="Montserrat"/>
                <w:b w:val="0"/>
                <w:color w:val="333333"/>
                <w:sz w:val="18"/>
              </w:rPr>
              <w:t>Corporate / international / premium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rFonts w:ascii="Montserrat" w:hAnsi="Montserrat"/>
                <w:b/>
                <w:color w:val="333333"/>
                <w:sz w:val="18"/>
              </w:rPr>
              <w:t>Formes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rFonts w:ascii="Montserrat" w:hAnsi="Montserrat"/>
                <w:b w:val="0"/>
                <w:color w:val="333333"/>
                <w:sz w:val="18"/>
              </w:rPr>
              <w:t>Cercles, arcs, lignes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rFonts w:ascii="Montserrat" w:hAnsi="Montserrat"/>
                <w:b/>
                <w:color w:val="333333"/>
                <w:sz w:val="18"/>
              </w:rPr>
              <w:t>Iconographie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rFonts w:ascii="Montserrat" w:hAnsi="Montserrat"/>
                <w:b w:val="0"/>
                <w:color w:val="333333"/>
                <w:sz w:val="18"/>
              </w:rPr>
              <w:t>Minimaliste / linéaire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rFonts w:ascii="Montserrat" w:hAnsi="Montserrat"/>
                <w:b/>
                <w:color w:val="333333"/>
                <w:sz w:val="18"/>
              </w:rPr>
              <w:t>Ton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rFonts w:ascii="Montserrat" w:hAnsi="Montserrat"/>
                <w:b w:val="0"/>
                <w:color w:val="333333"/>
                <w:sz w:val="18"/>
              </w:rPr>
              <w:t>Institutionnel &amp; visionnaire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rFonts w:ascii="Montserrat" w:hAnsi="Montserrat"/>
                <w:b/>
                <w:color w:val="333333"/>
                <w:sz w:val="18"/>
              </w:rPr>
              <w:t>Signature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rFonts w:ascii="Montserrat" w:hAnsi="Montserrat"/>
                <w:b w:val="0"/>
                <w:color w:val="333333"/>
                <w:sz w:val="18"/>
              </w:rPr>
              <w:t>Éclairer le progrès. Bâtir la prospérité.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ontserrat" w:hAnsi="Montserrat"/>
        <w:color w:val="0B2A54"/>
        <w:sz w:val="16"/>
      </w:rPr>
      <w:t>OLUMERIUM GROUP  •  CHARTE GRAPHIQUE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ontserrat" w:hAnsi="Montserrat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ontserrat" w:hAnsi="Montserrat"/>
      <w:b/>
      <w:bCs/>
      <w:color w:val="0B2A54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ontserrat" w:hAnsi="Montserrat"/>
      <w:b/>
      <w:bCs/>
      <w:color w:val="C9972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ontserrat" w:hAnsi="Montserrat"/>
      <w:b/>
      <w:bCs/>
      <w:color w:val="0B2A5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ontserrat" w:hAnsi="Montserrat"/>
      <w:b/>
      <w:color w:val="C9972B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