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Note réglementaire — déclaration de l'incident</w:t>
      </w:r>
    </w:p>
    <w:p>
      <w:pPr>
        <w:pBdr>
          <w:bottom w:val="single" w:color="1F3864" w:sz="8" w:space="4"/>
        </w:pBdr>
        <w:spacing w:after="120"/>
      </w:pPr>
      <w:r>
        <w:rPr>
          <w:rFonts w:ascii="Arial" w:cs="Arial" w:eastAsia="Arial" w:hAnsi="Arial"/>
          <w:color w:val="2E5597"/>
          <w:sz w:val="22"/>
          <w:szCs w:val="22"/>
        </w:rPr>
        <w:t xml:space="preserve">INC-2026-0302 — Helios Energy, opérateur d'importance vitale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404040"/>
          <w:sz w:val="17"/>
          <w:szCs w:val="17"/>
        </w:rPr>
        <w:t xml:space="preserve">Destinataires : </w:t>
      </w:r>
      <w:r>
        <w:rPr>
          <w:rFonts w:ascii="Arial" w:cs="Arial" w:eastAsia="Arial" w:hAnsi="Arial"/>
          <w:color w:val="404040"/>
          <w:sz w:val="17"/>
          <w:szCs w:val="17"/>
        </w:rPr>
        <w:t xml:space="preserve">direction générale, RSSI, délégué pour la défense et la sécurité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404040"/>
          <w:sz w:val="17"/>
          <w:szCs w:val="17"/>
        </w:rPr>
        <w:t xml:space="preserve">Classification : </w:t>
      </w:r>
      <w:r>
        <w:rPr>
          <w:rFonts w:ascii="Arial" w:cs="Arial" w:eastAsia="Arial" w:hAnsi="Arial"/>
          <w:color w:val="404040"/>
          <w:sz w:val="17"/>
          <w:szCs w:val="17"/>
        </w:rPr>
        <w:t xml:space="preserve">TLP:AMBER — v0.1 du 7 octobre 2026. </w:t>
      </w:r>
    </w:p>
    <w:p>
      <w:pPr>
        <w:spacing w:after="20"/>
      </w:pPr>
      <w:r>
        <w:rPr>
          <w:rFonts w:ascii="Arial" w:cs="Arial" w:eastAsia="Arial" w:hAnsi="Arial"/>
          <w:color w:val="404040"/>
          <w:sz w:val="17"/>
          <w:szCs w:val="17"/>
        </w:rPr>
        <w:t xml:space="preserve">Les échéances sont calculées à partir des horodatages du dossier (T0 = ouverture de l'incident le 02/03 à 10:30 UTC).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 Qualification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Incident de sécurité grave affectant le SI d'un OIV : </w:t>
      </w:r>
      <w:r>
        <w:rPr>
          <w:rFonts w:ascii="Arial" w:cs="Arial" w:eastAsia="Arial" w:hAnsi="Arial"/>
          <w:sz w:val="18"/>
          <w:szCs w:val="18"/>
        </w:rPr>
        <w:t xml:space="preserve">compromission avérée du contrôleur de domaine, vol d'identifiants, exfiltration de 2,3 Gio, attaquant toujours présent au 7 mars. Aucune atteinte observée aux systèmes industriels ni interruption de service. Le rattachement des actifs touchés à un système d'information d'importance vitale (SIIV) est à confirmer ; dc-01 authentifiant l'ensemble du SI, il est prudent de le présumer.</w:t>
      </w:r>
    </w:p>
    <w:p>
      <w:pPr>
        <w:pStyle w:val="Heading2"/>
      </w:pPr>
      <w:r>
        <w:rPr>
          <w:rFonts w:ascii="Arial" w:cs="Arial" w:eastAsia="Arial" w:hAnsi="Arial"/>
        </w:rPr>
        <w:t xml:space="preserve">2. Ce qui doit être déclaré, à qui, dans quel délai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Destinataire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Fondement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Condition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Délai et échéance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ANSSI (CERT-FR)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Code de la défense, art. L.1332-6-2 (OIV)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Incident affectant le fonctionnement ou la sécurité d'un SIIV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Sans délai : dès le 02/03 si comptabilite-07 relève d'un SIIV, au plus tard à la compromission de dc-01 (05/03 14:07). En cas de doute, déclarer.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ANSSI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Loi n° 2018-133 (NIS 1), si Helios est aussi opérateur de services essentiels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Impact significatif sur la continuité d'un service essentiel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Sans délai ; non requis à ce stade (aucune interruption), à réévaluer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CNIL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RGPD, art. 33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Violation de données personnelles présentant un risque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 h après en avoir pris connaissance : 08/03 15:31 UTC au plus tard ; notification initiale puis complétée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Personnes concernées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RGPD, art. 34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Risque élevé pour leurs droits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Dans les meilleurs délais, après analyse du contenu exfiltré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Police, gendarmerie ou parquet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Code pénal, art. 323-1 et s. ; Code des assurances, art. L.12-10-1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Plainte recommandée ; condition d'indemnisation par l'assureur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 h après la connaissance de l'atteinte : 05/03 10:30 UTC au plus tard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 Contenu de la déclaration à l'ANSSI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18"/>
          <w:szCs w:val="18"/>
        </w:rPr>
        <w:t xml:space="preserve">Description et chronologie des faits, actifs touchés et leur rattachement aux SIIV, indicateurs techniques (TLP:AMBER), mesures de confinement prises, impact constaté et potentiel, point de contact joignable en continu. La déclaration initiale n'attend pas la fin de l'analyse : elle est complétée au fil de l'eau.</w:t>
      </w:r>
    </w:p>
    <w:p>
      <w:pPr>
        <w:pStyle w:val="Heading2"/>
      </w:pPr>
      <w:r>
        <w:rPr>
          <w:rFonts w:ascii="Arial" w:cs="Arial" w:eastAsia="Arial" w:hAnsi="Arial"/>
        </w:rPr>
        <w:t xml:space="preserve">4. À ne pas faire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18"/>
          <w:szCs w:val="18"/>
        </w:rPr>
        <w:t xml:space="preserve">Contacter l'attaquant ou payer une éventuelle rançon sans coordination avec l'ANSSI et les autorités ; détruire ou réinstaller les hôtes avant collecte des preuves ; communiquer publiquement avant la déclaration.</w:t>
      </w:r>
    </w:p>
    <w:p>
      <w:pPr>
        <w:pStyle w:val="Heading2"/>
      </w:pPr>
      <w:r>
        <w:rPr>
          <w:rFonts w:ascii="Arial" w:cs="Arial" w:eastAsia="Arial" w:hAnsi="Arial"/>
        </w:rPr>
        <w:t xml:space="preserve">5. Évolution du cadre</w:t>
      </w:r>
    </w:p>
    <w:p>
      <w:pPr>
        <w:spacing w:after="100" w:before="0" w:line="264"/>
        <w:jc w:val="both"/>
      </w:pPr>
      <w:r>
        <w:rPr>
          <w:rFonts w:ascii="Arial" w:cs="Arial" w:eastAsia="Arial" w:hAnsi="Arial"/>
          <w:sz w:val="18"/>
          <w:szCs w:val="18"/>
        </w:rPr>
        <w:t xml:space="preserve">La transposition de NIS 2 (projet de loi « Résilience ») n'est pas encore en vigueur : son examen à l'Assemblée nationale débute le 7 octobre 2026. Une fois applicable, elle imposera une alerte précoce sous 24 h, une notification sous 72 h et un rapport final sous un mois. Helios Energy, entité du secteur de l'énergie, a intérêt à appliquer ces délais dès maintenant.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Cellule CTI — INC-2026-0302 — 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Note ANSSI — INC-2026-0302   </w:t>
    </w:r>
    <w:r>
      <w:rPr>
        <w:rFonts w:ascii="Arial" w:cs="Arial" w:eastAsia="Arial" w:hAnsi="Arial"/>
        <w:b/>
        <w:bCs/>
        <w:color w:val="FFC000"/>
        <w:sz w:val="18"/>
        <w:szCs w:val="18"/>
        <w:shd w:fill="000000" w:color="auto" w:val="clear"/>
      </w:rPr>
      <w:t xml:space="preserve"> TLP:AMBER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6" w:space="2"/>
      </w:pBd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Arial" w:hAnsi="Arial"/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ANSSI — INC-2026-0302</dc:title>
  <dc:creator>Cellule CTI</dc:creator>
  <cp:lastModifiedBy>Un-named</cp:lastModifiedBy>
  <cp:revision>1</cp:revision>
  <dcterms:created xsi:type="dcterms:W3CDTF">2026-10-07T14:04:30.300Z</dcterms:created>
  <dcterms:modified xsi:type="dcterms:W3CDTF">2026-10-07T14:04:30.300Z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