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Matrice de risques CID</w:t>
      </w:r>
    </w:p>
    <w:p>
      <w:pPr>
        <w:pBdr>
          <w:bottom w:val="single" w:color="1F3864" w:sz="8" w:space="4"/>
        </w:pBdr>
        <w:spacing w:after="120"/>
      </w:pPr>
      <w:r>
        <w:rPr>
          <w:rFonts w:ascii="Arial" w:cs="Arial" w:eastAsia="Arial" w:hAnsi="Arial"/>
          <w:color w:val="2E5597"/>
          <w:sz w:val="22"/>
          <w:szCs w:val="22"/>
        </w:rPr>
        <w:t xml:space="preserve">Incident INC-2026-0302 — impact sur la confidentialité, l'intégrité et la disponibilité</w:t>
      </w:r>
    </w:p>
    <w:p>
      <w:pPr>
        <w:spacing w:after="20"/>
      </w:pPr>
      <w:r>
        <w:rPr>
          <w:rFonts w:ascii="Arial" w:cs="Arial" w:eastAsia="Arial" w:hAnsi="Arial"/>
          <w:b/>
          <w:bCs/>
          <w:color w:val="404040"/>
          <w:sz w:val="17"/>
          <w:szCs w:val="17"/>
        </w:rPr>
        <w:t xml:space="preserve">Classification : </w:t>
      </w:r>
      <w:r>
        <w:rPr>
          <w:rFonts w:ascii="Arial" w:cs="Arial" w:eastAsia="Arial" w:hAnsi="Arial"/>
          <w:color w:val="404040"/>
          <w:sz w:val="17"/>
          <w:szCs w:val="17"/>
        </w:rPr>
        <w:t xml:space="preserve">TLP:AMBER</w:t>
      </w:r>
    </w:p>
    <w:p>
      <w:pPr>
        <w:spacing w:after="20"/>
      </w:pPr>
      <w:r>
        <w:rPr>
          <w:rFonts w:ascii="Arial" w:cs="Arial" w:eastAsia="Arial" w:hAnsi="Arial"/>
          <w:b/>
          <w:bCs/>
          <w:color w:val="404040"/>
          <w:sz w:val="17"/>
          <w:szCs w:val="17"/>
        </w:rPr>
        <w:t xml:space="preserve">Version : </w:t>
      </w:r>
      <w:r>
        <w:rPr>
          <w:rFonts w:ascii="Arial" w:cs="Arial" w:eastAsia="Arial" w:hAnsi="Arial"/>
          <w:color w:val="404040"/>
          <w:sz w:val="17"/>
          <w:szCs w:val="17"/>
        </w:rPr>
        <w:t xml:space="preserve">v0.1 du 7 octobre 2026 — à réviser après réponse du commanditaire sur le contenu de srv-fichiers-02</w:t>
      </w:r>
    </w:p>
    <w:p>
      <w:pPr>
        <w:spacing w:after="120"/>
      </w:pPr>
    </w:p>
    <w:p>
      <w:pPr>
        <w:pStyle w:val="Heading1"/>
      </w:pPr>
      <w:r>
        <w:rPr>
          <w:rFonts w:ascii="Arial" w:cs="Arial" w:eastAsia="Arial" w:hAnsi="Arial"/>
        </w:rPr>
        <w:t xml:space="preserve">1. Échelle utilisée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Niveau</w:t>
            </w:r>
          </w:p>
        </w:tc>
        <w:tc>
          <w:tcPr>
            <w:tcW w:type="dxa" w:w="7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Signification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1 — Limité</w:t>
            </w:r>
          </w:p>
        </w:tc>
        <w:tc>
          <w:tcPr>
            <w:tcW w:type="dxa" w:w="7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Impact local, sans conséquence pour l'activité</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2 — Significatif</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Atteinte à un service ou à des données internes, réparable rapidement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3 — Grave</w:t>
            </w:r>
          </w:p>
        </w:tc>
        <w:tc>
          <w:tcPr>
            <w:tcW w:type="dxa" w:w="7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Atteinte à des données sensibles ou à un service important, remédiation lourde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4 — Critique</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Atteinte à des données réglementées ou critiques, ou à la sécurité de l'ensemble du SI</w:t>
            </w:r>
          </w:p>
        </w:tc>
      </w:tr>
    </w:tbl>
    <w:p>
      <w:pPr>
        <w:spacing w:after="100" w:before="100" w:line="264"/>
        <w:jc w:val="both"/>
      </w:pPr>
      <w:r>
        <w:rPr>
          <w:rFonts w:ascii="Arial" w:cs="Arial" w:eastAsia="Arial" w:hAnsi="Arial"/>
          <w:sz w:val="20"/>
          <w:szCs w:val="20"/>
        </w:rPr>
        <w:t xml:space="preserve">Chaque case indique l'impact constaté, suivi de l'impact potentiel si l'attaquant poursuit son action (« 1 → 4 »). La criticité retient le niveau le plus élevé des trois critères. La colonne Certitude reprend les niveaux de preuve du rapport tactique.</w:t>
      </w:r>
    </w:p>
    <w:p>
      <w:pPr>
        <w:pStyle w:val="Heading1"/>
      </w:pPr>
      <w:r>
        <w:rPr>
          <w:rFonts w:ascii="Arial" w:cs="Arial" w:eastAsia="Arial" w:hAnsi="Arial"/>
        </w:rPr>
        <w:t xml:space="preserve">2. Matrice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150"/>
        <w:gridCol w:w="600"/>
        <w:gridCol w:w="600"/>
        <w:gridCol w:w="900"/>
        <w:gridCol w:w="1300"/>
        <w:gridCol w:w="2438"/>
      </w:tblGrid>
      <w:tr>
        <w:trPr>
          <w:tblHeader/>
        </w:trPr>
        <w:tc>
          <w:tcPr>
            <w:tcW w:type="dxa" w:w="16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Actif</w:t>
            </w:r>
          </w:p>
        </w:tc>
        <w:tc>
          <w:tcPr>
            <w:tcW w:type="dxa" w:w="2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Rôle</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C</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I</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Criticité</w:t>
            </w:r>
          </w:p>
        </w:tc>
        <w:tc>
          <w:tcPr>
            <w:tcW w:type="dxa" w:w="2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line="240"/>
              <w:jc w:val="left"/>
            </w:pPr>
            <w:r>
              <w:rPr>
                <w:rFonts w:ascii="Arial" w:cs="Arial" w:eastAsia="Arial" w:hAnsi="Arial"/>
                <w:b/>
                <w:bCs/>
                <w:color w:val="FFFFFF"/>
                <w:sz w:val="16"/>
                <w:szCs w:val="16"/>
              </w:rPr>
              <w:t xml:space="preserve">Certitude</w:t>
            </w:r>
          </w:p>
        </w:tc>
      </w:tr>
      <w:tr>
        <w:trPr>
          <w:cantSplit/>
        </w:trPr>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comptabilite-07</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Poste d'entrée</w:t>
            </w:r>
          </w:p>
        </w:tc>
        <w:tc>
          <w:tcPr>
            <w:tcW w:type="dxa" w:w="6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3</w:t>
            </w:r>
          </w:p>
        </w:tc>
        <w:tc>
          <w:tcPr>
            <w:tcW w:type="dxa" w:w="6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3</w:t>
            </w:r>
          </w:p>
        </w:tc>
        <w:tc>
          <w:tcPr>
            <w:tcW w:type="dxa" w:w="90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1 → 2</w:t>
            </w:r>
          </w:p>
        </w:tc>
        <w:tc>
          <w:tcPr>
            <w:tcW w:type="dxa" w:w="13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Grave (3)</w:t>
            </w:r>
          </w:p>
        </w:tc>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Observé</w:t>
            </w:r>
          </w:p>
        </w:tc>
      </w:tr>
      <w:tr>
        <w:trPr>
          <w:cantSplit/>
        </w:trPr>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srv-fichiers-02</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Serveur de fichiers</w:t>
            </w:r>
          </w:p>
        </w:tc>
        <w:tc>
          <w:tcPr>
            <w:tcW w:type="dxa" w:w="6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4</w:t>
            </w:r>
          </w:p>
        </w:tc>
        <w:tc>
          <w:tcPr>
            <w:tcW w:type="dxa" w:w="6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3</w:t>
            </w:r>
          </w:p>
        </w:tc>
        <w:tc>
          <w:tcPr>
            <w:tcW w:type="dxa" w:w="9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1 → 4</w:t>
            </w:r>
          </w:p>
        </w:tc>
        <w:tc>
          <w:tcPr>
            <w:tcW w:type="dxa" w:w="13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Critique (4)</w:t>
            </w:r>
          </w:p>
        </w:tc>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Observé / supposé (C)</w:t>
            </w:r>
          </w:p>
        </w:tc>
      </w:tr>
      <w:tr>
        <w:trPr>
          <w:cantSplit/>
        </w:trPr>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dc-01</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Contrôleur de domaine</w:t>
            </w:r>
          </w:p>
        </w:tc>
        <w:tc>
          <w:tcPr>
            <w:tcW w:type="dxa" w:w="6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4</w:t>
            </w:r>
          </w:p>
        </w:tc>
        <w:tc>
          <w:tcPr>
            <w:tcW w:type="dxa" w:w="6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4</w:t>
            </w:r>
          </w:p>
        </w:tc>
        <w:tc>
          <w:tcPr>
            <w:tcW w:type="dxa" w:w="9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1 → 4</w:t>
            </w:r>
          </w:p>
        </w:tc>
        <w:tc>
          <w:tcPr>
            <w:tcW w:type="dxa" w:w="13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Critique (4)</w:t>
            </w:r>
          </w:p>
        </w:tc>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Observé</w:t>
            </w:r>
          </w:p>
        </w:tc>
      </w:tr>
      <w:tr>
        <w:trPr>
          <w:cantSplit/>
        </w:trPr>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Identités du domaine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Comptes AD, dont svc-backup-temp</w:t>
            </w:r>
          </w:p>
        </w:tc>
        <w:tc>
          <w:tcPr>
            <w:tcW w:type="dxa" w:w="6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4</w:t>
            </w:r>
          </w:p>
        </w:tc>
        <w:tc>
          <w:tcPr>
            <w:tcW w:type="dxa" w:w="6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4</w:t>
            </w:r>
          </w:p>
        </w:tc>
        <w:tc>
          <w:tcPr>
            <w:tcW w:type="dxa" w:w="9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1 → 3</w:t>
            </w:r>
          </w:p>
        </w:tc>
        <w:tc>
          <w:tcPr>
            <w:tcW w:type="dxa" w:w="13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Critique (4)</w:t>
            </w:r>
          </w:p>
        </w:tc>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Observé / déduit</w:t>
            </w:r>
          </w:p>
        </w:tc>
      </w:tr>
      <w:tr>
        <w:trPr>
          <w:cantSplit/>
        </w:trPr>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Données exfiltrées</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2,3 Gio, contenu inconnu</w:t>
            </w:r>
          </w:p>
        </w:tc>
        <w:tc>
          <w:tcPr>
            <w:tcW w:type="dxa" w:w="6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4</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w:t>
            </w:r>
          </w:p>
        </w:tc>
        <w:tc>
          <w:tcPr>
            <w:tcW w:type="dxa" w:w="1300"/>
            <w:tcBorders>
              <w:top w:val="single" w:color="BFBFBF" w:sz="4"/>
              <w:left w:val="single" w:color="BFBFBF" w:sz="4"/>
              <w:bottom w:val="single" w:color="BFBFBF" w:sz="4"/>
              <w:right w:val="single" w:color="BFBFBF" w:sz="4"/>
            </w:tcBorders>
            <w:shd w:fill="F4B6B6"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Critique (4)</w:t>
            </w:r>
          </w:p>
        </w:tc>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Observé (volume) / supposé (contenu)</w:t>
            </w:r>
          </w:p>
        </w:tc>
      </w:tr>
      <w:tr>
        <w:trPr>
          <w:cantSplit/>
        </w:trPr>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bCs/>
                <w:sz w:val="16"/>
                <w:szCs w:val="16"/>
              </w:rPr>
              <w:t xml:space="preserve">Messagerie</w:t>
            </w:r>
          </w:p>
        </w:tc>
        <w:tc>
          <w:tcPr>
            <w:tcW w:type="dxa" w:w="2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Identifiants via fausse page OWA</w:t>
            </w:r>
          </w:p>
        </w:tc>
        <w:tc>
          <w:tcPr>
            <w:tcW w:type="dxa" w:w="6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3</w:t>
            </w:r>
          </w:p>
        </w:tc>
        <w:tc>
          <w:tcPr>
            <w:tcW w:type="dxa" w:w="600"/>
            <w:tcBorders>
              <w:top w:val="single" w:color="BFBFBF" w:sz="4"/>
              <w:left w:val="single" w:color="BFBFBF" w:sz="4"/>
              <w:bottom w:val="single" w:color="BFBFBF" w:sz="4"/>
              <w:right w:val="single" w:color="BFBFBF" w:sz="4"/>
            </w:tcBorders>
            <w:shd w:fill="FFE699"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2</w:t>
            </w:r>
          </w:p>
        </w:tc>
        <w:tc>
          <w:tcPr>
            <w:tcW w:type="dxa" w:w="900"/>
            <w:tcBorders>
              <w:top w:val="single" w:color="BFBFBF" w:sz="4"/>
              <w:left w:val="single" w:color="BFBFBF" w:sz="4"/>
              <w:bottom w:val="single" w:color="BFBFBF" w:sz="4"/>
              <w:right w:val="single" w:color="BFBFBF" w:sz="4"/>
            </w:tcBorders>
            <w:shd w:fill="E2EFDA" w:color="auto" w:val="clear"/>
            <w:tcMar>
              <w:top w:type="dxa" w:w="50"/>
              <w:left w:type="dxa" w:w="80"/>
              <w:bottom w:type="dxa" w:w="50"/>
              <w:right w:type="dxa" w:w="80"/>
            </w:tcMar>
            <w:vAlign w:val="center"/>
          </w:tcPr>
          <w:p>
            <w:pPr>
              <w:spacing w:after="0" w:line="240"/>
              <w:jc w:val="center"/>
            </w:pPr>
            <w:r>
              <w:rPr>
                <w:rFonts w:ascii="Arial" w:cs="Arial" w:eastAsia="Arial" w:hAnsi="Arial"/>
                <w:b w:val="false"/>
                <w:bCs w:val="false"/>
                <w:sz w:val="16"/>
                <w:szCs w:val="16"/>
              </w:rPr>
              <w:t xml:space="preserve">1</w:t>
            </w:r>
          </w:p>
        </w:tc>
        <w:tc>
          <w:tcPr>
            <w:tcW w:type="dxa" w:w="1300"/>
            <w:tcBorders>
              <w:top w:val="single" w:color="BFBFBF" w:sz="4"/>
              <w:left w:val="single" w:color="BFBFBF" w:sz="4"/>
              <w:bottom w:val="single" w:color="BFBFBF" w:sz="4"/>
              <w:right w:val="single" w:color="BFBFBF" w:sz="4"/>
            </w:tcBorders>
            <w:shd w:fill="F8CBAD" w:color="auto" w:val="clear"/>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Grave (3)</w:t>
            </w:r>
          </w:p>
        </w:tc>
        <w:tc>
          <w:tcPr>
            <w:tcW w:type="dxa" w:w="24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left"/>
            </w:pPr>
            <w:r>
              <w:rPr>
                <w:rFonts w:ascii="Arial" w:cs="Arial" w:eastAsia="Arial" w:hAnsi="Arial"/>
                <w:b w:val="false"/>
                <w:bCs w:val="false"/>
                <w:sz w:val="16"/>
                <w:szCs w:val="16"/>
              </w:rPr>
              <w:t xml:space="preserve">Supposé</w:t>
            </w:r>
          </w:p>
        </w:tc>
      </w:tr>
    </w:tbl>
    <w:p>
      <w:pPr>
        <w:pStyle w:val="Heading1"/>
      </w:pPr>
      <w:r>
        <w:rPr>
          <w:rFonts w:ascii="Arial" w:cs="Arial" w:eastAsia="Arial" w:hAnsi="Arial"/>
        </w:rPr>
        <w:t xml:space="preserve">3. Justification par actif</w:t>
      </w:r>
    </w:p>
    <w:p>
      <w:pPr>
        <w:spacing w:after="100" w:before="0" w:line="264"/>
        <w:jc w:val="both"/>
      </w:pPr>
      <w:r>
        <w:rPr>
          <w:rFonts w:ascii="Arial" w:cs="Arial" w:eastAsia="Arial" w:hAnsi="Arial"/>
          <w:b/>
          <w:bCs/>
          <w:sz w:val="20"/>
          <w:szCs w:val="20"/>
        </w:rPr>
        <w:t xml:space="preserve">comptabilite-07. </w:t>
      </w:r>
      <w:r>
        <w:rPr>
          <w:rFonts w:ascii="Arial" w:cs="Arial" w:eastAsia="Arial" w:hAnsi="Arial"/>
          <w:sz w:val="20"/>
          <w:szCs w:val="20"/>
        </w:rPr>
        <w:t xml:space="preserve">Confidentialité 3 : implant actif depuis le 02/03, données comptables locales et identifiants de l'utilisateur exposés. Intégrité 3 : double persistance et journal Security effacé le 07/03, ce qui altère aussi la valeur de preuve du poste. Disponibilité 1 : aucune interruption ; potentiel 2 en cas de chiffrement d'un poste isolé. Le poste n'était pas isolé le 7 mars : c'est le point de réentrée le plus probable.</w:t>
      </w:r>
    </w:p>
    <w:p>
      <w:pPr>
        <w:spacing w:after="100" w:before="0" w:line="264"/>
        <w:jc w:val="both"/>
      </w:pPr>
      <w:r>
        <w:rPr>
          <w:rFonts w:ascii="Arial" w:cs="Arial" w:eastAsia="Arial" w:hAnsi="Arial"/>
          <w:b/>
          <w:bCs/>
          <w:sz w:val="20"/>
          <w:szCs w:val="20"/>
        </w:rPr>
        <w:t xml:space="preserve">srv-fichiers-02. </w:t>
      </w:r>
      <w:r>
        <w:rPr>
          <w:rFonts w:ascii="Arial" w:cs="Arial" w:eastAsia="Arial" w:hAnsi="Arial"/>
          <w:sz w:val="20"/>
          <w:szCs w:val="20"/>
        </w:rPr>
        <w:t xml:space="preserve">Confidentialité 4 : source la plus probable des 2,3 Gio exfiltrés, la collecte n'étant toutefois pas observée. Intégrité 3 : code injecté dans explorer.exe et C2 de repli actif le 06/03. Disponibilité 1 → 4 : un serveur de fichiers est la cible prioritaire d'un rançongiciel, et son indisponibilité bloquerait les services qui en dépendent.</w:t>
      </w:r>
    </w:p>
    <w:p>
      <w:pPr>
        <w:spacing w:after="100" w:before="0" w:line="264"/>
        <w:jc w:val="both"/>
      </w:pPr>
      <w:r>
        <w:rPr>
          <w:rFonts w:ascii="Arial" w:cs="Arial" w:eastAsia="Arial" w:hAnsi="Arial"/>
          <w:b/>
          <w:bCs/>
          <w:sz w:val="20"/>
          <w:szCs w:val="20"/>
        </w:rPr>
        <w:t xml:space="preserve">dc-01. </w:t>
      </w:r>
      <w:r>
        <w:rPr>
          <w:rFonts w:ascii="Arial" w:cs="Arial" w:eastAsia="Arial" w:hAnsi="Arial"/>
          <w:sz w:val="20"/>
          <w:szCs w:val="20"/>
        </w:rPr>
        <w:t xml:space="preserve">Confidentialité 4 : mémoire LSASS lue, donc identifiants de domaine potentiellement tous compromis ; point de départ de l'exfiltration. Intégrité 4 : création et suppression d'un compte prouvent le contrôle de l'annuaire ; la confiance dans l'Active Directory doit être reconstruite. Disponibilité 1 → 4 : un attaquant maître du domaine peut déployer un chiffrement sur tout le parc en une seule opération.</w:t>
      </w:r>
    </w:p>
    <w:p>
      <w:pPr>
        <w:spacing w:after="100" w:before="0" w:line="264"/>
        <w:jc w:val="both"/>
      </w:pPr>
      <w:r>
        <w:rPr>
          <w:rFonts w:ascii="Arial" w:cs="Arial" w:eastAsia="Arial" w:hAnsi="Arial"/>
          <w:b/>
          <w:bCs/>
          <w:sz w:val="20"/>
          <w:szCs w:val="20"/>
        </w:rPr>
        <w:t xml:space="preserve">Identités du domaine. </w:t>
      </w:r>
      <w:r>
        <w:rPr>
          <w:rFonts w:ascii="Arial" w:cs="Arial" w:eastAsia="Arial" w:hAnsi="Arial"/>
          <w:sz w:val="20"/>
          <w:szCs w:val="20"/>
        </w:rPr>
        <w:t xml:space="preserve">Le compte svc-backup-temp a servi au mouvement latéral, et tous les comptes ouverts sur dc-01 sont à considérer comme compromis tant que krbtgt n'a pas été réinitialisé deux fois. Disponibilité 3 : la réinitialisation massive des comptes perturbera l'activité.</w:t>
      </w:r>
    </w:p>
    <w:p>
      <w:pPr>
        <w:spacing w:after="100" w:before="0" w:line="264"/>
        <w:jc w:val="both"/>
      </w:pPr>
      <w:r>
        <w:rPr>
          <w:rFonts w:ascii="Arial" w:cs="Arial" w:eastAsia="Arial" w:hAnsi="Arial"/>
          <w:b/>
          <w:bCs/>
          <w:sz w:val="20"/>
          <w:szCs w:val="20"/>
        </w:rPr>
        <w:t xml:space="preserve">Données exfiltrées. </w:t>
      </w:r>
      <w:r>
        <w:rPr>
          <w:rFonts w:ascii="Arial" w:cs="Arial" w:eastAsia="Arial" w:hAnsi="Arial"/>
          <w:sz w:val="20"/>
          <w:szCs w:val="20"/>
        </w:rPr>
        <w:t xml:space="preserve">Le volume est prouvé (2 469 135 790 octets, en clair). Le contenu est inconnu ; s'agissant de services comptables et RH, la présence de données personnelles est probable, ce qui déclenche les obligations RGPD (voir note ANSSI). L'envoi en clair signifie que ces données ont aussi pu être interceptées en chemin.</w:t>
      </w:r>
    </w:p>
    <w:p>
      <w:pPr>
        <w:spacing w:after="100" w:before="0" w:line="264"/>
        <w:jc w:val="both"/>
      </w:pPr>
      <w:r>
        <w:rPr>
          <w:rFonts w:ascii="Arial" w:cs="Arial" w:eastAsia="Arial" w:hAnsi="Arial"/>
          <w:b/>
          <w:bCs/>
          <w:sz w:val="20"/>
          <w:szCs w:val="20"/>
        </w:rPr>
        <w:t xml:space="preserve">Messagerie. </w:t>
      </w:r>
      <w:r>
        <w:rPr>
          <w:rFonts w:ascii="Arial" w:cs="Arial" w:eastAsia="Arial" w:hAnsi="Arial"/>
          <w:sz w:val="20"/>
          <w:szCs w:val="20"/>
        </w:rPr>
        <w:t xml:space="preserve">Une fausse page OWA était en ligne une heure avant l'attaque. Aucune saisie n'est prouvée, mais la connexion RDP avec un compte valide avant le vol en mémoire rend l'hypothèse crédible.</w:t>
      </w:r>
    </w:p>
    <w:p>
      <w:pPr>
        <w:pStyle w:val="Heading1"/>
      </w:pPr>
      <w:r>
        <w:rPr>
          <w:rFonts w:ascii="Arial" w:cs="Arial" w:eastAsia="Arial" w:hAnsi="Arial"/>
        </w:rPr>
        <w:t xml:space="preserve">4. Ce qui n'est pas touché</w:t>
      </w:r>
    </w:p>
    <w:p>
      <w:pPr>
        <w:spacing w:after="100" w:before="0" w:line="264"/>
        <w:jc w:val="both"/>
      </w:pPr>
      <w:r>
        <w:rPr>
          <w:rFonts w:ascii="Arial" w:cs="Arial" w:eastAsia="Arial" w:hAnsi="Arial"/>
          <w:sz w:val="20"/>
          <w:szCs w:val="20"/>
        </w:rPr>
        <w:t xml:space="preserve">Aucun artefact ne montre d'accès aux systèmes industriels (supervision, automates) ni d'interruption de la fourniture d'énergie. C'est un point déterminant pour la qualification réglementaire d'un opérateur d'importance vitale. Cette absence de preuve reste à confirmer par une vérification des flux entre le SI de gestion et le SI industriel sur la période.</w:t>
      </w:r>
    </w:p>
    <w:p>
      <w:pPr>
        <w:pStyle w:val="Heading1"/>
      </w:pPr>
      <w:r>
        <w:rPr>
          <w:rFonts w:ascii="Arial" w:cs="Arial" w:eastAsia="Arial" w:hAnsi="Arial"/>
        </w:rPr>
        <w:t xml:space="preserve">5. Lecture pour la direction</w:t>
      </w:r>
    </w:p>
    <w:p>
      <w:pPr>
        <w:spacing w:after="100" w:before="0" w:line="264"/>
        <w:jc w:val="both"/>
      </w:pPr>
      <w:r>
        <w:rPr>
          <w:rFonts w:ascii="Arial" w:cs="Arial" w:eastAsia="Arial" w:hAnsi="Arial"/>
          <w:sz w:val="20"/>
          <w:szCs w:val="20"/>
        </w:rPr>
        <w:t xml:space="preserve">Trois actifs sur six sont au niveau critique, et le contrôleur de domaine en fait partie : l'attaquant a eu les clés de l'ensemble du SI de gestion. L'impact déjà réalisé est une fuite de données ; l'impact redouté est un chiffrement généralisé, que rien n'empêche techniquement tant que l'attaquant reste présent et que les comptes ne sont pas réinitialisés.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Cellule CTI — INC-2026-0302 —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595959"/>
        <w:sz w:val="16"/>
        <w:szCs w:val="16"/>
      </w:rPr>
      <w:t xml:space="preserve">Matrice de risques CID — INC-2026-0302   </w:t>
    </w:r>
    <w:r>
      <w:rPr>
        <w:rFonts w:ascii="Arial" w:cs="Arial" w:eastAsia="Arial" w:hAnsi="Arial"/>
        <w:b/>
        <w:bCs/>
        <w:color w:val="FFC000"/>
        <w:sz w:val="18"/>
        <w:szCs w:val="18"/>
        <w:shd w:fill="000000" w:color="auto" w:val="clear"/>
      </w:rPr>
      <w:t xml:space="preserve"> TLP:AMBER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80" w:before="200"/>
      <w:outlineLvl w:val="1"/>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 risques CID — INC-2026-0302</dc:title>
  <dc:creator>Cellule CTI</dc:creator>
  <cp:lastModifiedBy>Un-named</cp:lastModifiedBy>
  <cp:revision>1</cp:revision>
  <dcterms:created xsi:type="dcterms:W3CDTF">2026-10-07T14:04:30.282Z</dcterms:created>
  <dcterms:modified xsi:type="dcterms:W3CDTF">2026-10-07T14:04:30.284Z</dcterms:modified>
</cp:coreProperties>
</file>

<file path=docProps/custom.xml><?xml version="1.0" encoding="utf-8"?>
<Properties xmlns="http://schemas.openxmlformats.org/officeDocument/2006/custom-properties" xmlns:vt="http://schemas.openxmlformats.org/officeDocument/2006/docPropsVTypes"/>
</file>