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</w:p>
    <w:tbl>
      <w:tblPr>
        <w:tblW w:w="15451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51"/>
      </w:tblGrid>
      <w:tr>
        <w:trPr/>
        <w:tc>
          <w:tcPr>
            <w:tcW w:w="1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13361" w:leader="none"/>
              </w:tabs>
              <w:spacing w:before="120" w:after="120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BTS </w:t>
            </w:r>
            <w:r>
              <w:rPr>
                <w:rFonts w:cs="Arial" w:ascii="Arial" w:hAnsi="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ab/>
              <w:t xml:space="preserve">SESSION </w:t>
            </w:r>
            <w:r>
              <w:rPr>
                <w:rFonts w:cs="Arial" w:ascii="Arial" w:hAnsi="Arial"/>
                <w:b/>
                <w:bCs/>
                <w:sz w:val="22"/>
                <w:szCs w:val="22"/>
                <w:highlight w:val="yellow"/>
              </w:rPr>
              <w:t>……</w:t>
            </w:r>
          </w:p>
          <w:p>
            <w:pPr>
              <w:pStyle w:val="Normal"/>
              <w:spacing w:before="120" w:after="120"/>
              <w:jc w:val="center"/>
              <w:rPr>
                <w:rFonts w:ascii="Arial" w:hAnsi="Arial"/>
                <w:b/>
                <w:b/>
                <w:sz w:val="22"/>
                <w:szCs w:val="22"/>
                <w:lang w:eastAsia="fr-FR"/>
              </w:rPr>
            </w:pP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E5 - Conception et développement d’applications (option SLAM) </w:t>
            </w:r>
          </w:p>
          <w:p>
            <w:pPr>
              <w:pStyle w:val="Normal"/>
              <w:numPr>
                <w:ilvl w:val="0"/>
                <w:numId w:val="0"/>
              </w:numPr>
              <w:spacing w:before="120" w:after="120"/>
              <w:jc w:val="center"/>
              <w:outlineLvl w:val="0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ANNEXE 8-B : </w:t>
            </w:r>
            <w:r>
              <w:rPr>
                <w:rFonts w:ascii="Arial" w:hAnsi="Arial"/>
                <w:b/>
                <w:sz w:val="22"/>
                <w:szCs w:val="22"/>
              </w:rPr>
              <w:t>Modèle d’attestation de respect de l’annexe II.E – Environnement technologique pour la certification du référentiel</w:t>
            </w:r>
          </w:p>
        </w:tc>
      </w:tr>
    </w:tbl>
    <w:p>
      <w:pPr>
        <w:pStyle w:val="Normal"/>
        <w:suppressAutoHyphens w:val="false"/>
        <w:spacing w:before="120" w:after="120"/>
        <w:jc w:val="center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  <w:t>CONTRÔLE DE L’ENVIRONNEMENT TECHNOLOGIQUE</w:t>
      </w:r>
    </w:p>
    <w:p>
      <w:pPr>
        <w:pStyle w:val="Normal"/>
        <w:suppressAutoHyphens w:val="false"/>
        <w:spacing w:before="120" w:after="120"/>
        <w:jc w:val="center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  <w:t>En référence à l’annexe II.E –« Environnement technologique pour la certification » du référentiel du BTS SIO</w:t>
      </w:r>
    </w:p>
    <w:tbl>
      <w:tblPr>
        <w:tblW w:w="151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2263"/>
        <w:gridCol w:w="11623"/>
        <w:gridCol w:w="1277"/>
      </w:tblGrid>
      <w:tr>
        <w:trPr>
          <w:trHeight w:val="1256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cs="Arial"/>
                <w:b/>
                <w:b/>
                <w:bCs/>
                <w:iCs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ncredenotedebasdepage"/>
                <w:rFonts w:cs="Arial" w:ascii="Arial" w:hAnsi="Arial"/>
                <w:b/>
                <w:bCs/>
                <w:iCs/>
                <w:sz w:val="21"/>
                <w:szCs w:val="21"/>
              </w:rPr>
              <w:footnoteReference w:id="2"/>
            </w:r>
          </w:p>
        </w:tc>
        <w:tc>
          <w:tcPr>
            <w:tcW w:w="1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strike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strike/>
                <w:sz w:val="21"/>
                <w:szCs w:val="21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" w:hAnsi="Arial" w:cs="Arial"/>
                <w:b/>
                <w:b/>
                <w:bCs/>
                <w:iCs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iCs/>
                <w:sz w:val="36"/>
                <w:szCs w:val="36"/>
              </w:rPr>
              <w:t>SLAM</w:t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  <w:t>1. Environnement commun aux deux options</w:t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b/>
          <w:bCs/>
          <w:iCs/>
          <w:sz w:val="22"/>
          <w:szCs w:val="22"/>
        </w:rPr>
      </w:pPr>
      <w:r>
        <w:rPr>
          <w:rFonts w:cs="Arial" w:ascii="Arial" w:hAnsi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service d’authentification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Keycloak, module C#, Active Directory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SGBD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MySQL, MariaDB, PostgreSQL, SQLite, MongoDB, Neo4j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accès sécurisé à internet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Firewall, antivirus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environnement de travail collaboratif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Trello, Github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Deux serveurs, éventuellement virtualisés, basés sur des systèmes d'exploitation différents, dont l'un est un logiciel libre (</w:t>
            </w:r>
            <w:r>
              <w:rPr>
                <w:rFonts w:cs="Arial" w:ascii="Arial" w:hAnsi="Arial"/>
                <w:bCs/>
                <w:i/>
                <w:iCs/>
                <w:sz w:val="22"/>
                <w:szCs w:val="22"/>
              </w:rPr>
              <w:t>open source)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Windows et Linux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120" w:after="120"/>
        <w:jc w:val="center"/>
        <w:outlineLvl w:val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ANNEXE 8-B </w:t>
      </w:r>
      <w:r>
        <w:rPr>
          <w:rFonts w:ascii="Arial" w:hAnsi="Arial"/>
          <w:b/>
          <w:sz w:val="22"/>
          <w:szCs w:val="22"/>
        </w:rPr>
        <w:t>(suite)</w:t>
      </w:r>
      <w:r>
        <w:rPr>
          <w:rFonts w:cs="Arial" w:ascii="Arial" w:hAnsi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Modèle d’attestation de respect de l’annexe II.E – Environnement technologique pour la certification du référentiel</w:t>
      </w:r>
    </w:p>
    <w:p>
      <w:pPr>
        <w:pStyle w:val="Normal"/>
        <w:spacing w:before="0" w:after="240"/>
        <w:jc w:val="center"/>
        <w:rPr>
          <w:rFonts w:ascii="Arial" w:hAnsi="Arial"/>
          <w:b/>
          <w:b/>
          <w:sz w:val="22"/>
          <w:szCs w:val="22"/>
          <w:lang w:eastAsia="fr-FR"/>
        </w:rPr>
      </w:pPr>
      <w:r>
        <w:rPr>
          <w:rFonts w:ascii="Arial" w:hAnsi="Arial"/>
          <w:b/>
          <w:sz w:val="22"/>
          <w:szCs w:val="22"/>
          <w:lang w:eastAsia="fr-FR"/>
        </w:rPr>
        <w:t xml:space="preserve">Épreuve E5 - Conception et développement d’applications (option SLAM) </w:t>
      </w:r>
    </w:p>
    <w:p>
      <w:pPr>
        <w:pStyle w:val="Normal"/>
        <w:spacing w:before="0" w:after="24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151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de sauvegarde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solution de sauvegarde de données de Windows Server, duplicati, Veeam FREE Backup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Des ressources dont l'accès est sécurisé et soumis à habilitation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Droits d'accès Linux, partage de fichiers Windows+NTFS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Deux types de terminaux dont un mobile (type </w:t>
            </w:r>
            <w:r>
              <w:rPr>
                <w:rFonts w:cs="Arial" w:ascii="Arial" w:hAnsi="Arial"/>
                <w:bCs/>
                <w:i/>
                <w:iCs/>
                <w:sz w:val="22"/>
                <w:szCs w:val="22"/>
              </w:rPr>
              <w:t>smartphone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Ordinateur de bureau, mobile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  <w:t>1.2 Des outils sont mobilisés pour la gestion de la sécurité :</w:t>
      </w:r>
    </w:p>
    <w:tbl>
      <w:tblPr>
        <w:tblW w:w="151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1"/>
        <w:gridCol w:w="371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Gestion des incidents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SonarQube (prise en charge et attribution des problèmes) + Jenkins</w:t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Serilog (journalisation)</w:t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Serveur GLPI, OCS Inventory NG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Détection et prévention des intrusions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OWASP ZAP, Nessus, Sqlmap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Chiffrement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Certificats SSL, serveur https, gestion SSL/TLS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Analyse de trafic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labtainers (Wireshark, tcpdump, netstat, nmap)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rPr>
          <w:rFonts w:ascii="Arial" w:hAnsi="Arial" w:cs="Arial"/>
          <w:bCs/>
          <w:iCs/>
          <w:sz w:val="22"/>
          <w:szCs w:val="22"/>
        </w:rPr>
      </w:pPr>
      <w:r>
        <w:rPr>
          <w:rFonts w:cs="Arial" w:ascii="Arial" w:hAnsi="Arial"/>
          <w:bCs/>
          <w:iCs/>
          <w:sz w:val="22"/>
          <w:szCs w:val="22"/>
        </w:rPr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  <w:t>Remarque : les logiciels de simulation ou d'émulation sont utilisés en réponse à des besoins de l'organisation. Ils ne peuvent se substituer complètement à des équipements réels dans l'environnement technologique d'apprentissage.</w:t>
      </w:r>
      <w:r>
        <w:br w:type="page"/>
      </w:r>
    </w:p>
    <w:p>
      <w:pPr>
        <w:pStyle w:val="Normal"/>
        <w:spacing w:before="0" w:after="240"/>
        <w:jc w:val="center"/>
        <w:rPr>
          <w:rFonts w:ascii="Arial" w:hAnsi="Arial"/>
          <w:b/>
          <w:b/>
          <w:sz w:val="22"/>
          <w:szCs w:val="22"/>
          <w:lang w:eastAsia="fr-FR"/>
        </w:rPr>
      </w:pPr>
      <w:r>
        <w:rPr>
          <w:rFonts w:ascii="Arial" w:hAnsi="Arial"/>
          <w:b/>
          <w:sz w:val="22"/>
          <w:szCs w:val="22"/>
          <w:lang w:eastAsia="fr-FR"/>
        </w:rPr>
        <w:t xml:space="preserve">Épreuve E5 - Conception et développement d’applications (option SLAM) </w:t>
      </w:r>
    </w:p>
    <w:p>
      <w:pPr>
        <w:pStyle w:val="Normal"/>
        <w:numPr>
          <w:ilvl w:val="0"/>
          <w:numId w:val="0"/>
        </w:numPr>
        <w:spacing w:before="120" w:after="120"/>
        <w:jc w:val="center"/>
        <w:outlineLvl w:val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ANNEXE 8-B </w:t>
      </w:r>
      <w:r>
        <w:rPr>
          <w:rFonts w:ascii="Arial" w:hAnsi="Arial"/>
          <w:b/>
          <w:sz w:val="22"/>
          <w:szCs w:val="22"/>
        </w:rPr>
        <w:t>(suite)</w:t>
      </w:r>
      <w:r>
        <w:rPr>
          <w:rFonts w:cs="Arial" w:ascii="Arial" w:hAnsi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Modèle d’attestation de respect de l’annexe II.E – Environnement technologique pour la certification du référentiel</w:t>
      </w:r>
    </w:p>
    <w:p>
      <w:pPr>
        <w:pStyle w:val="Normal"/>
        <w:numPr>
          <w:ilvl w:val="0"/>
          <w:numId w:val="0"/>
        </w:numPr>
        <w:spacing w:before="120" w:after="120"/>
        <w:jc w:val="center"/>
        <w:outlineLvl w:val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  <w:t>2. Savoirs spécifiques à l’option « solutions logicielles et applications métiers » (SLAM)</w:t>
      </w:r>
    </w:p>
    <w:p>
      <w:pPr>
        <w:pStyle w:val="Normal"/>
        <w:spacing w:before="240" w:after="24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2.1 L'environnement technologique supportant le système d‘information de l'organisation cliente comporte au moins :</w:t>
      </w:r>
    </w:p>
    <w:tbl>
      <w:tblPr>
        <w:tblW w:w="152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0"/>
        <w:gridCol w:w="378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ou deux environnements de développement disposant d'outils de gestion de tests et supportant un cadre applicatif (</w:t>
            </w:r>
            <w:r>
              <w:rPr>
                <w:rFonts w:cs="Arial" w:ascii="Arial" w:hAnsi="Arial"/>
                <w:bCs/>
                <w:i/>
                <w:sz w:val="22"/>
                <w:szCs w:val="22"/>
              </w:rPr>
              <w:t>framework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) et au moins deux langages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Netbeans, Visual Studio 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code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, Android Studio,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bibliothèque de composants logiciels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Composants de connexion (HttpURLConnection…)</w:t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Composants divers (bundles de Symfony…)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SGBD avec langage de programmation associé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MySQL, MariaDB, PostgreSQL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 logiciel de gestion de versions et de suivi de problèmes d’ordre logiciel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Git, (Github)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Une solution permettant de tester les comportements anormaux d'une application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test unitaires et fonctionnels dans les 3 IDE (JUnit, PHPUnit, NUnit), scénario de tests et compatibilité des navigateurs (Selenium)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</w:p>
    <w:p>
      <w:pPr>
        <w:pStyle w:val="Normal"/>
        <w:suppressAutoHyphens w:val="false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</w:r>
      <w:r>
        <w:br w:type="page"/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2.2 Les activités de l'organisation cliente s'appuient sur aux moins deux solutions applicatives opérationnelles permettant d'offrir un accès sécurisé à des données hébergées sur un site distant. Au sein des architectures de ces solutions applicatives doivent figurer l'exploitation de mécanismes d'appel à des services applicatifs distants et au moins trois des situations ci-dessous :</w:t>
      </w:r>
    </w:p>
    <w:tbl>
      <w:tblPr>
        <w:tblW w:w="152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51"/>
        <w:gridCol w:w="7200"/>
        <w:gridCol w:w="3781"/>
      </w:tblGrid>
      <w:tr>
        <w:trPr>
          <w:trHeight w:val="539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  <w:br/>
              <w:t>(nom du service ou de l’outil et caractéristiques techniques)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dans un navigateur Web (type client léger ou riche)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bookmarkStart w:id="0" w:name="__DdeLink__4499_1215256107"/>
            <w:r>
              <w:rPr>
                <w:rFonts w:cs="Arial" w:ascii="Arial" w:hAnsi="Arial"/>
                <w:bCs/>
                <w:iCs/>
                <w:sz w:val="22"/>
                <w:szCs w:val="22"/>
              </w:rPr>
              <w:t>Site web Symfony</w:t>
            </w:r>
            <w:bookmarkEnd w:id="0"/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de consultation et gestion des vidéos d'auto-formation de la médiathèque.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/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  <w:tr>
        <w:trPr>
          <w:trHeight w:val="6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sur le système d'exploitation d'un serveur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/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L’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 applications utilis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 xml:space="preserve">e </w:t>
            </w:r>
            <w:r>
              <w:rPr>
                <w:rFonts w:cs="Arial" w:ascii="Arial" w:hAnsi="Arial"/>
                <w:bCs/>
                <w:iCs/>
                <w:sz w:val="22"/>
                <w:szCs w:val="22"/>
              </w:rPr>
              <w:t>du code exécuté côté serveur)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cs="Arial" w:ascii="Arial" w:hAnsi="Arial"/>
                <w:bCs/>
                <w:iCs/>
                <w:sz w:val="22"/>
                <w:szCs w:val="22"/>
              </w:rPr>
            </w:r>
          </w:p>
        </w:tc>
      </w:tr>
    </w:tbl>
    <w:p>
      <w:pPr>
        <w:pStyle w:val="Normal"/>
        <w:suppressAutoHyphens w:val="false"/>
        <w:spacing w:before="240" w:after="24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2.3 Une solution applicative peut être issue d'un développement spécifique ou de la modification du code d'un logiciel notamment open source.</w:t>
      </w:r>
    </w:p>
    <w:p>
      <w:pPr>
        <w:pStyle w:val="Normal"/>
        <w:suppressAutoHyphens w:val="false"/>
        <w:spacing w:before="240" w:after="240"/>
        <w:rPr>
          <w:rFonts w:ascii="Arial" w:hAnsi="Arial" w:cs="Arial"/>
          <w:b/>
          <w:b/>
          <w:iCs/>
          <w:sz w:val="22"/>
          <w:szCs w:val="22"/>
        </w:rPr>
      </w:pPr>
      <w:r>
        <w:rPr>
          <w:rFonts w:cs="Arial" w:ascii="Arial" w:hAnsi="Arial"/>
          <w:b/>
          <w:iCs/>
          <w:sz w:val="22"/>
          <w:szCs w:val="22"/>
        </w:rPr>
        <w:t>2.4 Les solutions applicatives présentes dans le contexte sont opérationnelles et leur code source est accessible dans un environnement de développement opérationnel au moment de l'épreuve.</w:t>
      </w:r>
    </w:p>
    <w:p>
      <w:pPr>
        <w:pStyle w:val="Normal"/>
        <w:suppressAutoHyphens w:val="false"/>
        <w:rPr/>
      </w:pPr>
      <w:r>
        <w:rPr/>
      </w:r>
    </w:p>
    <w:sectPr>
      <w:footnotePr>
        <w:numFmt w:val="decimal"/>
      </w:footnotePr>
      <w:type w:val="nextPage"/>
      <w:pgSz w:orient="landscape" w:w="16838" w:h="11906"/>
      <w:pgMar w:left="85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" w:ascii="Arial" w:hAnsi="Arial"/>
          <w:iCs/>
          <w:sz w:val="21"/>
          <w:szCs w:val="21"/>
        </w:rPr>
        <w:t>Nom et adresse du centre d’examen ou identification de la personne candidate individuelle (numéro, nom, prénom)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autoHyphenation w:val="fals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4"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eastAsia="ar-SA" w:val="fr-FR" w:bidi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9Car" w:customStyle="1">
    <w:name w:val="Titre 9 Car"/>
    <w:basedOn w:val="DefaultParagraphFont"/>
    <w:link w:val="Titre9"/>
    <w:qFormat/>
    <w:rsid w:val="00226081"/>
    <w:rPr>
      <w:rFonts w:ascii="Arial" w:hAnsi="Arial" w:eastAsia="Times" w:cs="Arial"/>
      <w:sz w:val="22"/>
      <w:szCs w:val="22"/>
      <w:lang w:eastAsia="ar-SA"/>
    </w:rPr>
  </w:style>
  <w:style w:type="character" w:styleId="NotedebasdepageCar" w:customStyle="1">
    <w:name w:val="Note de bas de page Car"/>
    <w:basedOn w:val="DefaultParagraphFont"/>
    <w:link w:val="Notedebasdepage"/>
    <w:semiHidden/>
    <w:qFormat/>
    <w:rsid w:val="00226081"/>
    <w:rPr>
      <w:rFonts w:ascii="Times" w:hAnsi="Times" w:eastAsia="Times" w:cs="Times"/>
      <w:sz w:val="20"/>
      <w:szCs w:val="20"/>
      <w:lang w:eastAsia="ar-SA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semiHidden/>
    <w:qFormat/>
    <w:rsid w:val="00226081"/>
    <w:rPr>
      <w:vertAlign w:val="superscript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ff2645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  <w:lang w:eastAsia="ar-SA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ff2645"/>
    <w:rPr>
      <w:rFonts w:ascii="Calibri Light" w:hAnsi="Calibri Light" w:eastAsia="ＭＳ ゴシック" w:cs="" w:asciiTheme="majorHAnsi" w:cstheme="majorBidi" w:eastAsiaTheme="majorEastAsia" w:hAnsiTheme="majorHAnsi"/>
      <w:color w:val="1F3763" w:themeColor="accent1" w:themeShade="7f"/>
      <w:lang w:eastAsia="ar-SA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341fd"/>
    <w:rPr>
      <w:rFonts w:ascii="Segoe UI" w:hAnsi="Segoe UI" w:eastAsia="Times" w:cs="Segoe UI"/>
      <w:sz w:val="18"/>
      <w:szCs w:val="18"/>
      <w:lang w:eastAsia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41fd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f341fd"/>
    <w:rPr>
      <w:rFonts w:ascii="Times" w:hAnsi="Times" w:eastAsia="Times" w:cs="Times"/>
      <w:sz w:val="20"/>
      <w:szCs w:val="20"/>
      <w:lang w:eastAsia="ar-S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f341fd"/>
    <w:rPr>
      <w:rFonts w:ascii="Times" w:hAnsi="Times" w:eastAsia="Times" w:cs="Times"/>
      <w:b/>
      <w:bCs/>
      <w:sz w:val="20"/>
      <w:szCs w:val="20"/>
      <w:lang w:eastAsia="ar-SA"/>
    </w:rPr>
  </w:style>
  <w:style w:type="character" w:styleId="EntteCar" w:customStyle="1">
    <w:name w:val="En-tête Car"/>
    <w:basedOn w:val="DefaultParagraphFont"/>
    <w:link w:val="En-tte"/>
    <w:uiPriority w:val="99"/>
    <w:qFormat/>
    <w:rsid w:val="00a700c1"/>
    <w:rPr>
      <w:rFonts w:ascii="Times" w:hAnsi="Times" w:eastAsia="Times" w:cs="Times"/>
      <w:lang w:eastAsia="ar-SA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a700c1"/>
    <w:rPr>
      <w:rFonts w:ascii="Times" w:hAnsi="Times" w:eastAsia="Times" w:cs="Times"/>
      <w:lang w:eastAsia="ar-SA"/>
    </w:rPr>
  </w:style>
  <w:style w:type="character" w:styleId="Caractresdenotedebasdepage">
    <w:name w:val="Caractères de note de bas de page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tedebasdepage">
    <w:name w:val="Footnote Text"/>
    <w:basedOn w:val="Normal"/>
    <w:link w:val="NotedebasdepageCar"/>
    <w:semiHidden/>
    <w:rsid w:val="00226081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2427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f71dd"/>
    <w:pPr/>
    <w:rPr>
      <w:rFonts w:ascii="Times New Roman" w:hAnsi="Times New Roman" w:cs="Times New Roman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341fd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f341f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f341fd"/>
    <w:pPr/>
    <w:rPr>
      <w:b/>
      <w:bCs/>
    </w:rPr>
  </w:style>
  <w:style w:type="paragraph" w:styleId="Revision">
    <w:name w:val="Revision"/>
    <w:uiPriority w:val="99"/>
    <w:semiHidden/>
    <w:qFormat/>
    <w:rsid w:val="00ce36f3"/>
    <w:pPr>
      <w:widowControl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eastAsia="ar-SA" w:val="fr-FR" w:bidi="ar-SA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a700c1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lear" w:pos="709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F25D4-B7CB-4B86-A094-F8CEF0BB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Document_Manager_Pro/6.3.5.2$Windows_x86 LibreOffice_project/</Application>
  <Pages>4</Pages>
  <Words>711</Words>
  <Characters>4496</Characters>
  <CharactersWithSpaces>5137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2022-03-11T08:45:00Z</dcterms:created>
  <dc:creator>Olivier Mondet</dc:creator>
  <dc:description/>
  <dc:language>fr-FR</dc:language>
  <cp:lastModifiedBy/>
  <cp:lastPrinted>2020-12-26T13:51:00Z</cp:lastPrinted>
  <dcterms:modified xsi:type="dcterms:W3CDTF">2024-04-26T21:17:49Z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