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3864"/>
          <w:sz w:val="34"/>
          <w:szCs w:val="34"/>
        </w:rPr>
        <w:t xml:space="preserve">ProjectPilot Lite</w:t>
      </w:r>
    </w:p>
    <w:p>
      <w:pPr>
        <w:spacing w:after="30"/>
        <w:jc w:val="center"/>
      </w:pPr>
      <w:r>
        <w:rPr>
          <w:rFonts w:ascii="Arial" w:cs="Arial" w:eastAsia="Arial" w:hAnsi="Arial"/>
          <w:b/>
          <w:bCs/>
          <w:color w:val="2E5395"/>
          <w:sz w:val="23"/>
          <w:szCs w:val="23"/>
        </w:rPr>
        <w:t xml:space="preserve">Note de projection d’évolution vers une architecture cloud ou distante</w:t>
      </w:r>
    </w:p>
    <w:p>
      <w:pPr>
        <w:spacing w:after="140"/>
        <w:jc w:val="center"/>
      </w:pPr>
      <w:r>
        <w:rPr>
          <w:rFonts w:ascii="Arial" w:cs="Arial" w:eastAsia="Arial" w:hAnsi="Arial"/>
          <w:i/>
          <w:iCs/>
          <w:color w:val="595959"/>
          <w:sz w:val="18"/>
          <w:szCs w:val="18"/>
        </w:rPr>
        <w:t xml:space="preserve">Évaluation M1 EADL — Groupe Ethan, Kouceyla, Ceredine, Bassma — Juillet 2026</w:t>
      </w:r>
    </w:p>
    <w:p>
      <w:pPr>
        <w:spacing w:after="220" w:before="0"/>
      </w:pPr>
      <w:r>
        <w:rPr>
          <w:rFonts w:ascii="Arial" w:cs="Arial" w:eastAsia="Arial" w:hAnsi="Arial"/>
          <w:sz w:val="21"/>
          <w:szCs w:val="21"/>
        </w:rPr>
        <w:t xml:space="preserve">Cette note présente, de manière strictement théorique, comment ProjectPilot Lite — dans sa version actuelle, exécutée localement (API ASP.NET Core + SQLite + client WPF) — pourrait évoluer vers une architecture cloud ou distante. Aucune mise en œuvre technique réelle n’a été réalisée ni n’est requise : aucun compte cloud, aucun déploiement, aucun service payant.</w:t>
      </w:r>
    </w:p>
    <w:p>
      <w:pPr>
        <w:pStyle w:val="Heading1"/>
        <w:spacing w:after="160" w:before="300"/>
      </w:pPr>
      <w:r>
        <w:rPr>
          <w:rFonts w:ascii="Arial" w:cs="Arial" w:eastAsia="Arial" w:hAnsi="Arial"/>
        </w:rPr>
        <w:t xml:space="preserve">1. Hébergement de l’API</w:t>
      </w:r>
    </w:p>
    <w:p>
      <w:pPr>
        <w:spacing w:after="100" w:before="0"/>
      </w:pPr>
      <w:r>
        <w:rPr>
          <w:rFonts w:ascii="Arial" w:cs="Arial" w:eastAsia="Arial" w:hAnsi="Arial"/>
          <w:sz w:val="21"/>
          <w:szCs w:val="21"/>
        </w:rPr>
        <w:t xml:space="preserve">Aujourd’hui, l’API ProjectPilotLite.Api tourne en local sur http://localhost:5123. Dans une architecture distante, elle serait plutôt déployée sur un serveur ou un service d’hébergement accessible en permanence, par exemple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un service d’hébergement d’application managé (App Service Azure, ou équivalent AWS/GCP), qui prend en charge le runtime .NET sans gestion de serveur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ou une machine virtuelle / un petit VPS classique, sur laquelle l’API serait publiée via dotnet publish et exécutée derrière un reverse proxy (par exemple Nginx) avec un certificat HTTPS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ou, de manière plus légère, une conteneurisation de l’API (Dockerfile) déployée sur un service de conteneurs managé.</w:t>
      </w:r>
    </w:p>
    <w:p>
      <w:pPr>
        <w:spacing w:after="200" w:before="0"/>
      </w:pPr>
      <w:r>
        <w:rPr>
          <w:rFonts w:ascii="Arial" w:cs="Arial" w:eastAsia="Arial" w:hAnsi="Arial"/>
          <w:sz w:val="21"/>
          <w:szCs w:val="21"/>
        </w:rPr>
        <w:t xml:space="preserve">Le choix le plus simple et le plus cohérent avec le projet actuel serait un service d’hébergement managé : il évite d’administrer un serveur et se rapproche du fonctionnement « dotnet run » déjà utilisé en local.</w:t>
      </w:r>
    </w:p>
    <w:p>
      <w:pPr>
        <w:pStyle w:val="Heading1"/>
        <w:spacing w:after="160" w:before="300"/>
      </w:pPr>
      <w:r>
        <w:rPr>
          <w:rFonts w:ascii="Arial" w:cs="Arial" w:eastAsia="Arial" w:hAnsi="Arial"/>
        </w:rPr>
        <w:t xml:space="preserve">2. Configuration du client WPF pour une API distante</w:t>
      </w:r>
    </w:p>
    <w:p>
      <w:pPr>
        <w:spacing w:after="100" w:before="0"/>
      </w:pPr>
      <w:r>
        <w:rPr>
          <w:rFonts w:ascii="Arial" w:cs="Arial" w:eastAsia="Arial" w:hAnsi="Arial"/>
          <w:sz w:val="21"/>
          <w:szCs w:val="21"/>
        </w:rPr>
        <w:t xml:space="preserve">Le client WPF appelle actuellement l’API via un HttpClient dont la BaseAddress est configurée en dur sur http://localhost:5123 (voir Services/ApiService.cs). Pour pointer vers une API distante, il suffirait de rendre cette URL configurable plutôt que codée en dur, par exemple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via un fichier de configuration livré avec le client (appsettings.json côté WPF, ou fichier .config), lu au démarrage de l’application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ou via une variable d’environnement (par exemple PROJECTPILOT_API_URL) lue dans App.xaml.cs et injectée dans le service d’appel API.</w:t>
      </w:r>
    </w:p>
    <w:p>
      <w:pPr>
        <w:spacing w:after="200" w:before="0"/>
      </w:pPr>
      <w:r>
        <w:rPr>
          <w:rFonts w:ascii="Arial" w:cs="Arial" w:eastAsia="Arial" w:hAnsi="Arial"/>
          <w:sz w:val="21"/>
          <w:szCs w:val="21"/>
        </w:rPr>
        <w:t xml:space="preserve">Dans les deux cas, l’URL passerait de http://localhost:5123 à une URL HTTPS publique (par exemple https://projectpilot-api.exemple.com), sans modifier le reste du code : seule la construction du HttpClient changerait.</w:t>
      </w:r>
    </w:p>
    <w:p>
      <w:pPr>
        <w:pStyle w:val="Heading1"/>
        <w:spacing w:after="160" w:before="300"/>
      </w:pPr>
      <w:r>
        <w:rPr>
          <w:rFonts w:ascii="Arial" w:cs="Arial" w:eastAsia="Arial" w:hAnsi="Arial"/>
        </w:rPr>
        <w:t xml:space="preserve">3. Migration de SQLite vers une base de données serveur ou managée</w:t>
      </w:r>
    </w:p>
    <w:p>
      <w:pPr>
        <w:spacing w:after="100" w:before="0"/>
      </w:pPr>
      <w:r>
        <w:rPr>
          <w:rFonts w:ascii="Arial" w:cs="Arial" w:eastAsia="Arial" w:hAnsi="Arial"/>
          <w:sz w:val="21"/>
          <w:szCs w:val="21"/>
        </w:rPr>
        <w:t xml:space="preserve">SQLite, choisi pour sa simplicité locale (aucun serveur à installer), n’est pas adapté à un usage multi-utilisateurs distant (accès concurrents limités, fichier unique). Une évolution cloud impliquerait de migrer vers une base serveur ou managée, par exemple PostgreSQL ou SQL Server, hébergée sur un service de base de données managé (Azure SQL, Azure Database for PostgreSQL, ou équivalent).</w:t>
      </w:r>
    </w:p>
    <w:p>
      <w:pPr>
        <w:spacing w:after="200" w:before="0"/>
      </w:pPr>
      <w:r>
        <w:rPr>
          <w:rFonts w:ascii="Arial" w:cs="Arial" w:eastAsia="Arial" w:hAnsi="Arial"/>
          <w:sz w:val="21"/>
          <w:szCs w:val="21"/>
        </w:rPr>
        <w:t xml:space="preserve">Grâce à Entity Framework Core déjà utilisé dans l’API, cette migration resterait limitée : il s’agirait principalement de changer le fournisseur EF Core (UseSqlite → UseNpgsql ou UseSqlServer) et la chaîne de connexion dans la configuration. Les modèles (Projet, Tâche, Livrable) et les contrôleurs resteraient inchangés. Une nouvelle migration EF Core devrait être générée et appliquée sur la base cible.</w:t>
      </w:r>
    </w:p>
    <w:p>
      <w:pPr>
        <w:pStyle w:val="Heading1"/>
        <w:spacing w:after="160" w:before="300"/>
      </w:pPr>
      <w:r>
        <w:rPr>
          <w:rFonts w:ascii="Arial" w:cs="Arial" w:eastAsia="Arial" w:hAnsi="Arial"/>
        </w:rPr>
        <w:t xml:space="preserve">4. Secrets et chaînes de connexion hors du code source</w:t>
      </w:r>
    </w:p>
    <w:p>
      <w:pPr>
        <w:spacing w:after="100" w:before="0"/>
      </w:pPr>
      <w:r>
        <w:rPr>
          <w:rFonts w:ascii="Arial" w:cs="Arial" w:eastAsia="Arial" w:hAnsi="Arial"/>
          <w:sz w:val="21"/>
          <w:szCs w:val="21"/>
        </w:rPr>
        <w:t xml:space="preserve">La chaîne de connexion actuelle (« Data Source=projectpilot.db ») est visible dans appsettings.json versionné dans Git : c’est acceptable pour SQLite en local, car ce fichier ne contient aucune information sensible. En revanche, une chaîne de connexion vers une base de données distante contient généralement un identifiant et un mot de passe : elle ne doit jamais figurer dans le code source ni dans un fichier versionné.</w:t>
      </w:r>
    </w:p>
    <w:p>
      <w:pPr>
        <w:spacing w:after="80" w:before="0"/>
      </w:pPr>
      <w:r>
        <w:rPr>
          <w:rFonts w:ascii="Arial" w:cs="Arial" w:eastAsia="Arial" w:hAnsi="Arial"/>
          <w:sz w:val="21"/>
          <w:szCs w:val="21"/>
        </w:rPr>
        <w:t xml:space="preserve">Les bonnes pratiques seraient de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stocker les secrets dans des variables d’environnement ou un gestionnaire de secrets managé (Azure Key Vault, ou équivalent)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utiliser les « User Secrets » .NET en développement local et des variables d’environnement en production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exclure systématiquement les fichiers contenant des secrets via .gitignore, et ne conserver dans le dépôt que des exemples (appsettings.Example.json).</w:t>
      </w:r>
    </w:p>
    <w:p>
      <w:pPr>
        <w:pStyle w:val="Heading1"/>
        <w:spacing w:after="160" w:before="300"/>
      </w:pPr>
      <w:r>
        <w:rPr>
          <w:rFonts w:ascii="Arial" w:cs="Arial" w:eastAsia="Arial" w:hAnsi="Arial"/>
        </w:rPr>
        <w:t xml:space="preserve">5. Extension du pipeline CI/CD avec une étape de déploiement</w:t>
      </w:r>
    </w:p>
    <w:p>
      <w:pPr>
        <w:spacing w:after="100" w:before="0"/>
      </w:pPr>
      <w:r>
        <w:rPr>
          <w:rFonts w:ascii="Arial" w:cs="Arial" w:eastAsia="Arial" w:hAnsi="Arial"/>
          <w:sz w:val="21"/>
          <w:szCs w:val="21"/>
        </w:rPr>
        <w:t xml:space="preserve">Le pipeline actuel (.github/workflows/ci.yml) s’arrête à dotnet build / dotnet publish, sur deux agents (Linux pour l’API, Windows pour la solution complète incluant le WPF). Pour aller vers un déploiement continu, une étape supplémentaire serait ajoutée après le build de l’API, déclenchée uniquement sur la branche main et après succès des tests/build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publication de l’artefact (dossier de publish ou image Docker) vers un registre ou directement vers le service d’hébergement ciblé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déploiement automatique (par exemple via une action officielle du fournisseur d’hébergement, authentifiée par un secret GitHub Actions, jamais en clair dans le fichier YAML) ;</w:t>
      </w:r>
    </w:p>
    <w:p>
      <w:pPr>
        <w:pStyle w:val="ListParagraph"/>
        <w:numPr>
          <w:ilvl w:val="0"/>
          <w:numId w:val="2"/>
        </w:numPr>
        <w:spacing w:after="50"/>
      </w:pPr>
      <w:r>
        <w:rPr>
          <w:rFonts w:ascii="Arial" w:cs="Arial" w:eastAsia="Arial" w:hAnsi="Arial"/>
        </w:rPr>
        <w:t xml:space="preserve"/>
      </w:r>
      <w:r>
        <w:rPr>
          <w:rFonts w:ascii="Arial" w:cs="Arial" w:eastAsia="Arial" w:hAnsi="Arial"/>
          <w:sz w:val="21"/>
          <w:szCs w:val="21"/>
        </w:rPr>
        <w:t xml:space="preserve"> exécution automatique des migrations EF Core sur la base cible avant ou pendant le déploiement.</w:t>
      </w:r>
    </w:p>
    <w:p>
      <w:pPr>
        <w:spacing w:after="200" w:before="0"/>
      </w:pPr>
      <w:r>
        <w:rPr>
          <w:rFonts w:ascii="Arial" w:cs="Arial" w:eastAsia="Arial" w:hAnsi="Arial"/>
          <w:sz w:val="21"/>
          <w:szCs w:val="21"/>
        </w:rPr>
        <w:t xml:space="preserve">Le client WPF, lui, ne serait pas déployé automatiquement de la même manière : il resterait distribué comme exécutable (par exemple via un artefact de build téléchargeable), puisqu’il s’installe sur les postes des utilisateurs plutôt que sur un serveur.</w:t>
      </w:r>
    </w:p>
    <w:p>
      <w:pPr>
        <w:pStyle w:val="Heading1"/>
        <w:spacing w:after="160" w:before="300"/>
      </w:pPr>
      <w:r>
        <w:rPr>
          <w:rFonts w:ascii="Arial" w:cs="Arial" w:eastAsia="Arial" w:hAnsi="Arial"/>
        </w:rPr>
        <w:t xml:space="preserve">6. Schéma d’architecture (simplifié)</w:t>
      </w:r>
    </w:p>
    <w:p>
      <w:pPr>
        <w:spacing w:after="100" w:before="0"/>
      </w:pPr>
      <w:r>
        <w:rPr>
          <w:rFonts w:ascii="Arial" w:cs="Arial" w:eastAsia="Arial" w:hAnsi="Arial"/>
          <w:sz w:val="21"/>
          <w:szCs w:val="21"/>
        </w:rPr>
        <w:t xml:space="preserve">Passage d’une architecture 100% locale à une architecture distante :</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Aujourd’hui (local)</w:t>
            </w:r>
          </w:p>
        </w:tc>
        <w:tc>
          <w:tcPr>
            <w:tcW w:type="dxa" w:w="468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Projection (cloud / distant)</w:t>
            </w:r>
          </w:p>
        </w:tc>
      </w:tr>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Client WPF  →  http://localhost:5123</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Client WPF  →  HTTPS  →  API hébergée (service managé)</w:t>
            </w:r>
          </w:p>
        </w:tc>
      </w:tr>
      <w:tr>
        <w:tc>
          <w:tcPr>
            <w:tcW w:type="dxa" w:w="4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 ASP.NET Core (process local)</w:t>
            </w:r>
          </w:p>
        </w:tc>
        <w:tc>
          <w:tcPr>
            <w:tcW w:type="dxa" w:w="4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 ASP.NET Core (même code, déployé à distance)</w:t>
            </w:r>
          </w:p>
        </w:tc>
      </w:tr>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rFonts w:ascii="Arial" w:cs="Arial" w:eastAsia="Arial" w:hAnsi="Arial"/>
                <w:b w:val="false"/>
                <w:bCs w:val="false"/>
                <w:sz w:val="20"/>
                <w:szCs w:val="20"/>
              </w:rPr>
              <w:t xml:space="preserve">SQLite (fichier projectpilot.db)</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Base serveur/managée (PostgreSQL / SQL Server)</w:t>
            </w:r>
          </w:p>
        </w:tc>
      </w:tr>
      <w:tr>
        <w:tc>
          <w:tcPr>
            <w:tcW w:type="dxa" w:w="4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Secrets en clair dans appsettings.json (sans risque, pas de secret réel)</w:t>
            </w:r>
          </w:p>
        </w:tc>
        <w:tc>
          <w:tcPr>
            <w:tcW w:type="dxa" w:w="4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Secrets dans variables d’environnement / coffre-fort managé</w:t>
            </w:r>
          </w:p>
        </w:tc>
      </w:tr>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rFonts w:ascii="Arial" w:cs="Arial" w:eastAsia="Arial" w:hAnsi="Arial"/>
                <w:b w:val="false"/>
                <w:bCs w:val="false"/>
                <w:sz w:val="20"/>
                <w:szCs w:val="20"/>
              </w:rPr>
              <w:t xml:space="preserve">CI : build + publish uniquement</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rFonts w:ascii="Arial" w:cs="Arial" w:eastAsia="Arial" w:hAnsi="Arial"/>
                <w:b w:val="false"/>
                <w:bCs w:val="false"/>
                <w:sz w:val="20"/>
                <w:szCs w:val="20"/>
              </w:rPr>
              <w:t xml:space="preserve">CI/CD : build + publish + déploiement automatique</w:t>
            </w:r>
          </w:p>
        </w:tc>
      </w:tr>
    </w:tbl>
    <w:p>
      <w:pPr>
        <w:spacing w:after="90" w:before="0"/>
      </w:pPr>
      <w:r>
        <w:rPr>
          <w:rFonts w:ascii="Arial" w:cs="Arial" w:eastAsia="Arial" w:hAnsi="Arial"/>
          <w:sz w:val="21"/>
          <w:szCs w:val="21"/>
        </w:rPr>
        <w:t xml:space="preserve"/>
      </w:r>
    </w:p>
    <w:p>
      <w:pPr>
        <w:pStyle w:val="Heading1"/>
        <w:spacing w:after="160" w:before="300"/>
      </w:pPr>
      <w:r>
        <w:rPr>
          <w:rFonts w:ascii="Arial" w:cs="Arial" w:eastAsia="Arial" w:hAnsi="Arial"/>
        </w:rPr>
        <w:t xml:space="preserve">7. Principaux risques à anticiper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Risque</w:t>
            </w:r>
          </w:p>
        </w:tc>
        <w:tc>
          <w:tcPr>
            <w:tcW w:type="dxa" w:w="6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 de vigilance simple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rFonts w:ascii="Arial" w:cs="Arial" w:eastAsia="Arial" w:hAnsi="Arial"/>
                <w:b w:val="false"/>
                <w:bCs w:val="false"/>
                <w:sz w:val="20"/>
                <w:szCs w:val="20"/>
              </w:rPr>
              <w:t xml:space="preserve">Disponibilité</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rFonts w:ascii="Arial" w:cs="Arial" w:eastAsia="Arial" w:hAnsi="Arial"/>
                <w:b w:val="false"/>
                <w:bCs w:val="false"/>
                <w:sz w:val="20"/>
                <w:szCs w:val="20"/>
              </w:rPr>
              <w:t xml:space="preserve">Une API distante unique est un point de panne unique ; prévoir un minimum de supervision (ex. endpoint /health) et un plan de redémarrage.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Sécurité de base</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Passer en HTTPS obligatoire, restreindre les origines CORS, et envisager une authentification (l’API est ouverte en local, ce qui ne conviendrait plus à distance).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Coûts</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rFonts w:ascii="Arial" w:cs="Arial" w:eastAsia="Arial" w:hAnsi="Arial"/>
                <w:b w:val="false"/>
                <w:bCs w:val="false"/>
                <w:sz w:val="20"/>
                <w:szCs w:val="20"/>
              </w:rPr>
              <w:t xml:space="preserve">Un service managé et une base de données distante ont un coût récurrent (même minime) contrairement à SQLite local, gratuit ; à budgéter dès le choix du fournisseur.</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Sauvegarde</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SQLite est un simple fichier local sans sauvegarde automatique ; une base managée distante permettrait des sauvegardes automatiques régulières, à planifier explicitement.</w:t>
            </w:r>
          </w:p>
        </w:tc>
      </w:tr>
    </w:tbl>
    <w:p>
      <w:pPr>
        <w:pStyle w:val="Heading1"/>
        <w:spacing w:after="160" w:before="300"/>
      </w:pPr>
      <w:r>
        <w:rPr>
          <w:rFonts w:ascii="Arial" w:cs="Arial" w:eastAsia="Arial" w:hAnsi="Arial"/>
        </w:rPr>
        <w:t xml:space="preserve">8. Conclusion</w:t>
      </w:r>
    </w:p>
    <w:p>
      <w:pPr>
        <w:spacing w:after="100" w:before="0"/>
      </w:pPr>
      <w:r>
        <w:rPr>
          <w:rFonts w:ascii="Arial" w:cs="Arial" w:eastAsia="Arial" w:hAnsi="Arial"/>
          <w:sz w:val="21"/>
          <w:szCs w:val="21"/>
        </w:rPr>
        <w:t xml:space="preserve">ProjectPilot Lite a été conçu de manière à rendre cette évolution progressive : la séparation API / Core / WPF et l’usage d’Entity Framework Core limitent les changements nécessaires à la configuration (URL de l’API, chaîne de connexion, secrets) plutôt qu’à la logique métier. Cette projection reste volontairement simple et théorique, conformément au périmètre de l’évaluation.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90" w:before="160"/>
      <w:outlineLvl w:val="0"/>
    </w:pPr>
    <w:rPr>
      <w:rFonts w:ascii="Arial" w:cs="Arial" w:eastAsia="Arial" w:hAnsi="Arial"/>
      <w:b/>
      <w:bCs/>
      <w:color w:val="1F3864"/>
      <w:sz w:val="26"/>
      <w:szCs w:val="26"/>
    </w:rPr>
  </w:style>
  <w:style w:type="paragraph" w:styleId="Heading2">
    <w:name w:val="Heading 2"/>
    <w:basedOn w:val="Normal"/>
    <w:next w:val="Normal"/>
    <w:qFormat/>
    <w:pPr>
      <w:spacing w:after="70" w:before="120"/>
      <w:outlineLvl w:val="1"/>
    </w:pPr>
    <w:rPr>
      <w:rFonts w:ascii="Arial" w:cs="Arial" w:eastAsia="Arial" w:hAnsi="Arial"/>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2026-07-06T19:07:18.289Z</dcterms:created>
  <dcterms:modified xsi:type="dcterms:W3CDTF">2026-07-06T19:07:18.290Z</dcterms:modified>
</cp:coreProperties>
</file>

<file path=docProps/custom.xml><?xml version="1.0" encoding="utf-8"?>
<Properties xmlns="http://schemas.openxmlformats.org/officeDocument/2006/custom-properties" xmlns:vt="http://schemas.openxmlformats.org/officeDocument/2006/docPropsVTypes"/>
</file>