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1153" w14:textId="6A80D03D" w:rsidR="0036181D" w:rsidRPr="00BB6B9C" w:rsidRDefault="00560A98" w:rsidP="0036181D">
      <w:pPr>
        <w:pStyle w:val="a7"/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bookmarkStart w:id="0" w:name="_Toc363550357"/>
      <w:r w:rsidRPr="006F4439">
        <w:rPr>
          <w:rFonts w:eastAsia="標楷體" w:hint="eastAsia"/>
          <w:b/>
          <w:sz w:val="28"/>
          <w:szCs w:val="28"/>
        </w:rPr>
        <w:t>表七、臺灣大學各學院</w:t>
      </w:r>
      <w:r w:rsidRPr="004E6314">
        <w:rPr>
          <w:rFonts w:eastAsia="標楷體" w:hint="eastAsia"/>
          <w:b/>
          <w:sz w:val="28"/>
          <w:szCs w:val="28"/>
        </w:rPr>
        <w:t>六</w:t>
      </w:r>
      <w:r w:rsidRPr="004E6314">
        <w:rPr>
          <w:rFonts w:eastAsia="標楷體" w:hint="eastAsia"/>
          <w:b/>
          <w:bCs/>
          <w:sz w:val="28"/>
          <w:szCs w:val="28"/>
        </w:rPr>
        <w:t>個年度</w:t>
      </w:r>
      <w:r w:rsidRPr="004E6314">
        <w:rPr>
          <w:rFonts w:eastAsia="標楷體"/>
          <w:b/>
          <w:bCs/>
          <w:sz w:val="28"/>
          <w:szCs w:val="28"/>
        </w:rPr>
        <w:t>H</w:t>
      </w:r>
      <w:r w:rsidRPr="004E6314">
        <w:rPr>
          <w:rFonts w:eastAsia="標楷體" w:hint="eastAsia"/>
          <w:b/>
          <w:bCs/>
          <w:sz w:val="28"/>
          <w:szCs w:val="28"/>
        </w:rPr>
        <w:t>指數</w:t>
      </w:r>
      <w:bookmarkEnd w:id="0"/>
    </w:p>
    <w:tbl>
      <w:tblPr>
        <w:tblW w:w="10664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2"/>
        <w:gridCol w:w="1417"/>
        <w:gridCol w:w="1417"/>
        <w:gridCol w:w="1417"/>
        <w:gridCol w:w="1417"/>
        <w:gridCol w:w="1417"/>
        <w:gridCol w:w="1417"/>
      </w:tblGrid>
      <w:tr w:rsidR="00560A98" w:rsidRPr="006F4439" w14:paraId="4DBDE87E" w14:textId="77777777" w:rsidTr="00560A98">
        <w:trPr>
          <w:trHeight w:val="510"/>
          <w:jc w:val="center"/>
        </w:trPr>
        <w:tc>
          <w:tcPr>
            <w:tcW w:w="2162" w:type="dxa"/>
            <w:tcBorders>
              <w:top w:val="thinThickSmallGap" w:sz="12" w:space="0" w:color="auto"/>
              <w:bottom w:val="thinThickSmallGap" w:sz="12" w:space="0" w:color="auto"/>
              <w:tl2br w:val="single" w:sz="4" w:space="0" w:color="auto"/>
            </w:tcBorders>
            <w:vAlign w:val="center"/>
          </w:tcPr>
          <w:p w14:paraId="284D3211" w14:textId="77777777" w:rsidR="00560A98" w:rsidRPr="006F4439" w:rsidRDefault="00560A98" w:rsidP="00AA21BE">
            <w:pPr>
              <w:snapToGrid w:val="0"/>
              <w:spacing w:line="400" w:lineRule="exact"/>
              <w:jc w:val="right"/>
              <w:rPr>
                <w:rFonts w:eastAsia="標楷體"/>
                <w:b/>
                <w:bCs/>
              </w:rPr>
            </w:pPr>
            <w:bookmarkStart w:id="1" w:name="_Hlk465537557"/>
            <w:r w:rsidRPr="006F4439">
              <w:rPr>
                <w:rFonts w:eastAsia="標楷體" w:hint="eastAsia"/>
                <w:b/>
                <w:bCs/>
              </w:rPr>
              <w:t>年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份</w:t>
            </w:r>
          </w:p>
          <w:p w14:paraId="34866E26" w14:textId="77777777" w:rsidR="00560A98" w:rsidRPr="006F4439" w:rsidRDefault="00560A98" w:rsidP="00AA21BE">
            <w:pPr>
              <w:snapToGrid w:val="0"/>
              <w:spacing w:line="400" w:lineRule="exact"/>
              <w:rPr>
                <w:rFonts w:eastAsia="標楷體"/>
                <w:b/>
                <w:bCs/>
              </w:rPr>
            </w:pPr>
            <w:r w:rsidRPr="006F4439">
              <w:rPr>
                <w:rFonts w:eastAsia="標楷體" w:hint="eastAsia"/>
                <w:b/>
                <w:bCs/>
              </w:rPr>
              <w:t>學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院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名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243C7595" w14:textId="56B6A8EC" w:rsidR="00560A98" w:rsidRPr="006F4439" w:rsidRDefault="00560A98" w:rsidP="00AA21BE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/>
                <w:b/>
                <w:spacing w:val="-20"/>
              </w:rPr>
              <w:t>{{D2}}</w:t>
            </w:r>
            <w:r w:rsidRPr="006F4439">
              <w:rPr>
                <w:rFonts w:eastAsia="標楷體"/>
                <w:b/>
                <w:spacing w:val="-20"/>
              </w:rPr>
              <w:t>*</w:t>
            </w:r>
            <w:r w:rsidRPr="006F4439">
              <w:rPr>
                <w:rFonts w:eastAsia="標楷體" w:hint="eastAsia"/>
                <w:b/>
                <w:spacing w:val="-20"/>
              </w:rPr>
              <w:t>*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3E779D6F" w14:textId="387B5C59" w:rsidR="00560A98" w:rsidRPr="006F4439" w:rsidRDefault="00560A98" w:rsidP="00AA21BE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/>
                <w:b/>
                <w:spacing w:val="-20"/>
              </w:rPr>
              <w:t>{{E2}}</w:t>
            </w:r>
            <w:r w:rsidRPr="006F4439">
              <w:rPr>
                <w:rFonts w:eastAsia="標楷體"/>
                <w:b/>
                <w:spacing w:val="-20"/>
              </w:rPr>
              <w:t>*</w:t>
            </w:r>
            <w:r w:rsidRPr="006F4439">
              <w:rPr>
                <w:rFonts w:eastAsia="標楷體" w:hint="eastAsia"/>
                <w:b/>
                <w:spacing w:val="-20"/>
              </w:rPr>
              <w:t>*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0DDF9008" w14:textId="6F928A69" w:rsidR="00560A98" w:rsidRPr="006F4439" w:rsidRDefault="00560A98" w:rsidP="00AA21BE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/>
                <w:b/>
                <w:spacing w:val="-20"/>
              </w:rPr>
              <w:t>{{F2}}</w:t>
            </w:r>
            <w:r w:rsidRPr="006F4439">
              <w:rPr>
                <w:rFonts w:eastAsia="標楷體"/>
                <w:b/>
                <w:spacing w:val="-20"/>
              </w:rPr>
              <w:t>*</w:t>
            </w:r>
            <w:r w:rsidRPr="006F4439">
              <w:rPr>
                <w:rFonts w:eastAsia="標楷體" w:hint="eastAsia"/>
                <w:b/>
                <w:spacing w:val="-20"/>
              </w:rPr>
              <w:t>*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54A53B2D" w14:textId="63D4D44E" w:rsidR="00560A98" w:rsidRPr="006F4439" w:rsidRDefault="00560A98" w:rsidP="00AA21BE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/>
                <w:b/>
                <w:spacing w:val="-20"/>
              </w:rPr>
              <w:t>{{G2}}</w:t>
            </w:r>
            <w:r w:rsidRPr="006F4439">
              <w:rPr>
                <w:rFonts w:eastAsia="標楷體" w:hint="eastAsia"/>
                <w:b/>
                <w:spacing w:val="-20"/>
              </w:rPr>
              <w:t>**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61DC16FF" w14:textId="76E19F68" w:rsidR="00560A98" w:rsidRPr="006F4439" w:rsidRDefault="00560A98" w:rsidP="00AA21BE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/>
                <w:b/>
                <w:spacing w:val="-20"/>
              </w:rPr>
              <w:t>{{H2}}</w:t>
            </w:r>
            <w:r>
              <w:rPr>
                <w:rFonts w:eastAsia="標楷體" w:hint="eastAsia"/>
                <w:b/>
                <w:spacing w:val="-20"/>
              </w:rPr>
              <w:t>**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536B12D2" w14:textId="48AD4846" w:rsidR="00560A98" w:rsidRPr="006F4439" w:rsidRDefault="00560A98" w:rsidP="00AA21BE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/>
                <w:b/>
                <w:spacing w:val="-20"/>
              </w:rPr>
              <w:t>{{I2}}</w:t>
            </w:r>
            <w:r>
              <w:rPr>
                <w:rFonts w:eastAsia="標楷體" w:hint="eastAsia"/>
                <w:b/>
                <w:spacing w:val="-20"/>
              </w:rPr>
              <w:t>**</w:t>
            </w:r>
          </w:p>
        </w:tc>
      </w:tr>
      <w:tr w:rsidR="00560A98" w:rsidRPr="006F4439" w14:paraId="5B580075" w14:textId="77777777" w:rsidTr="00943218">
        <w:trPr>
          <w:trHeight w:val="510"/>
          <w:jc w:val="center"/>
        </w:trPr>
        <w:tc>
          <w:tcPr>
            <w:tcW w:w="10664" w:type="dxa"/>
            <w:gridSpan w:val="7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0FDE39B1" w14:textId="10585EA1" w:rsidR="00560A98" w:rsidRDefault="00560A98" w:rsidP="00AA21BE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%tr for item in table_contents%}</w:t>
            </w:r>
          </w:p>
        </w:tc>
      </w:tr>
      <w:tr w:rsidR="00560A98" w:rsidRPr="006F4439" w14:paraId="3E76AEBD" w14:textId="77777777" w:rsidTr="00560A98">
        <w:trPr>
          <w:trHeight w:val="510"/>
          <w:jc w:val="center"/>
        </w:trPr>
        <w:tc>
          <w:tcPr>
            <w:tcW w:w="2162" w:type="dxa"/>
            <w:tcBorders>
              <w:top w:val="thinThickSmallGap" w:sz="12" w:space="0" w:color="auto"/>
              <w:bottom w:val="thinThickSmallGap" w:sz="12" w:space="0" w:color="auto"/>
              <w:tl2br w:val="nil"/>
            </w:tcBorders>
            <w:vAlign w:val="center"/>
          </w:tcPr>
          <w:p w14:paraId="4DD1318B" w14:textId="2A3C6439" w:rsidR="00560A98" w:rsidRPr="006F4439" w:rsidRDefault="00560A98" w:rsidP="00560A98">
            <w:pPr>
              <w:snapToGrid w:val="0"/>
              <w:spacing w:line="400" w:lineRule="exact"/>
              <w:jc w:val="right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{item.name}}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  <w:tl2br w:val="nil"/>
            </w:tcBorders>
            <w:vAlign w:val="center"/>
          </w:tcPr>
          <w:p w14:paraId="6D668154" w14:textId="02D6F6DE" w:rsidR="00560A98" w:rsidRDefault="00560A98" w:rsidP="00560A98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{item.D2}}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  <w:tl2br w:val="nil"/>
            </w:tcBorders>
            <w:vAlign w:val="center"/>
          </w:tcPr>
          <w:p w14:paraId="107C5992" w14:textId="34030C2C" w:rsidR="00560A98" w:rsidRDefault="00560A98" w:rsidP="00560A98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{item.E2}}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  <w:tl2br w:val="nil"/>
            </w:tcBorders>
            <w:vAlign w:val="center"/>
          </w:tcPr>
          <w:p w14:paraId="0D84F8CE" w14:textId="36078DD8" w:rsidR="00560A98" w:rsidRDefault="00560A98" w:rsidP="00560A98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{item.F2 }}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  <w:tl2br w:val="nil"/>
            </w:tcBorders>
            <w:vAlign w:val="center"/>
          </w:tcPr>
          <w:p w14:paraId="4149A43E" w14:textId="65771ED3" w:rsidR="00560A98" w:rsidRDefault="00560A98" w:rsidP="00560A98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{item.G2}}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  <w:tl2br w:val="nil"/>
            </w:tcBorders>
            <w:vAlign w:val="center"/>
          </w:tcPr>
          <w:p w14:paraId="412EBB36" w14:textId="1E7CC00C" w:rsidR="00560A98" w:rsidRDefault="00560A98" w:rsidP="00560A98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{item.H2}}</w:t>
            </w:r>
          </w:p>
        </w:tc>
        <w:tc>
          <w:tcPr>
            <w:tcW w:w="1417" w:type="dxa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38D0D48B" w14:textId="618861C4" w:rsidR="00560A98" w:rsidRDefault="00560A98" w:rsidP="00560A98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{item.I2}}</w:t>
            </w:r>
          </w:p>
        </w:tc>
      </w:tr>
      <w:tr w:rsidR="00560A98" w:rsidRPr="006F4439" w14:paraId="78785418" w14:textId="77777777" w:rsidTr="0014527B">
        <w:trPr>
          <w:trHeight w:val="510"/>
          <w:jc w:val="center"/>
        </w:trPr>
        <w:tc>
          <w:tcPr>
            <w:tcW w:w="10664" w:type="dxa"/>
            <w:gridSpan w:val="7"/>
            <w:tcBorders>
              <w:top w:val="thinThickSmallGap" w:sz="12" w:space="0" w:color="auto"/>
              <w:bottom w:val="single" w:sz="4" w:space="0" w:color="auto"/>
              <w:right w:val="thinThickSmallGap" w:sz="12" w:space="0" w:color="auto"/>
              <w:tl2br w:val="nil"/>
            </w:tcBorders>
            <w:vAlign w:val="center"/>
          </w:tcPr>
          <w:p w14:paraId="25599365" w14:textId="46D59201" w:rsidR="00560A98" w:rsidRDefault="00560A98" w:rsidP="00560A98">
            <w:pPr>
              <w:snapToGrid w:val="0"/>
              <w:jc w:val="center"/>
              <w:rPr>
                <w:rFonts w:eastAsia="標楷體"/>
                <w:b/>
                <w:spacing w:val="-20"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%tr endfor%}</w:t>
            </w:r>
          </w:p>
        </w:tc>
      </w:tr>
      <w:bookmarkEnd w:id="1"/>
    </w:tbl>
    <w:p w14:paraId="7686B150" w14:textId="77777777" w:rsidR="00560A98" w:rsidRDefault="00560A98" w:rsidP="008D63D1">
      <w:pPr>
        <w:spacing w:line="280" w:lineRule="exact"/>
        <w:rPr>
          <w:rFonts w:eastAsia="標楷體"/>
          <w:sz w:val="20"/>
          <w:szCs w:val="20"/>
        </w:rPr>
      </w:pPr>
    </w:p>
    <w:p w14:paraId="5B1D2838" w14:textId="45CA21FD" w:rsidR="00560A98" w:rsidRDefault="00560A98" w:rsidP="00560A98">
      <w:pPr>
        <w:spacing w:line="280" w:lineRule="exact"/>
        <w:ind w:leftChars="-177" w:left="1" w:hangingChars="213" w:hanging="426"/>
        <w:rPr>
          <w:rFonts w:eastAsia="標楷體"/>
          <w:sz w:val="20"/>
          <w:szCs w:val="20"/>
        </w:rPr>
      </w:pPr>
      <w:r w:rsidRPr="006F4439">
        <w:rPr>
          <w:rFonts w:eastAsia="標楷體" w:hint="eastAsia"/>
          <w:sz w:val="20"/>
          <w:szCs w:val="20"/>
        </w:rPr>
        <w:t>註：</w:t>
      </w:r>
      <w:r>
        <w:rPr>
          <w:rFonts w:eastAsia="標楷體" w:hint="eastAsia"/>
          <w:sz w:val="20"/>
          <w:szCs w:val="20"/>
        </w:rPr>
        <w:t>1.</w:t>
      </w:r>
      <w:r w:rsidRPr="006F4439">
        <w:rPr>
          <w:rFonts w:eastAsia="標楷體" w:hint="eastAsia"/>
          <w:sz w:val="20"/>
          <w:szCs w:val="20"/>
        </w:rPr>
        <w:t>**</w:t>
      </w:r>
      <w:r>
        <w:rPr>
          <w:rFonts w:eastAsia="標楷體"/>
          <w:sz w:val="20"/>
          <w:szCs w:val="20"/>
        </w:rPr>
        <w:t>{{between}}</w:t>
      </w:r>
      <w:r>
        <w:rPr>
          <w:rFonts w:eastAsia="標楷體" w:hint="eastAsia"/>
          <w:sz w:val="20"/>
          <w:szCs w:val="20"/>
        </w:rPr>
        <w:t>-</w:t>
      </w:r>
      <w:r w:rsidRPr="00560A98">
        <w:rPr>
          <w:rFonts w:eastAsia="標楷體"/>
          <w:sz w:val="20"/>
          <w:szCs w:val="20"/>
        </w:rPr>
        <w:t xml:space="preserve"> </w:t>
      </w:r>
      <w:r>
        <w:rPr>
          <w:rFonts w:eastAsia="標楷體"/>
          <w:sz w:val="20"/>
          <w:szCs w:val="20"/>
        </w:rPr>
        <w:t xml:space="preserve">{{Year}} </w:t>
      </w:r>
      <w:r w:rsidRPr="006F4439">
        <w:rPr>
          <w:rFonts w:eastAsia="標楷體" w:hint="eastAsia"/>
          <w:sz w:val="20"/>
          <w:szCs w:val="20"/>
        </w:rPr>
        <w:t>年為資料庫「出版年」之論文數，論文收錄範圍為當年</w:t>
      </w:r>
      <w:r w:rsidRPr="006F4439">
        <w:rPr>
          <w:rFonts w:eastAsia="標楷體" w:hint="eastAsia"/>
          <w:sz w:val="20"/>
          <w:szCs w:val="20"/>
        </w:rPr>
        <w:t>1</w:t>
      </w:r>
      <w:r w:rsidRPr="006F4439">
        <w:rPr>
          <w:rFonts w:eastAsia="標楷體" w:hint="eastAsia"/>
          <w:sz w:val="20"/>
          <w:szCs w:val="20"/>
        </w:rPr>
        <w:t>月</w:t>
      </w:r>
      <w:r w:rsidRPr="006F4439">
        <w:rPr>
          <w:rFonts w:eastAsia="標楷體" w:hint="eastAsia"/>
          <w:sz w:val="20"/>
          <w:szCs w:val="20"/>
        </w:rPr>
        <w:t>1</w:t>
      </w:r>
      <w:r w:rsidRPr="006F4439">
        <w:rPr>
          <w:rFonts w:eastAsia="標楷體" w:hint="eastAsia"/>
          <w:sz w:val="20"/>
          <w:szCs w:val="20"/>
        </w:rPr>
        <w:t>日至</w:t>
      </w:r>
      <w:r w:rsidRPr="006F4439">
        <w:rPr>
          <w:rFonts w:eastAsia="標楷體" w:hint="eastAsia"/>
          <w:sz w:val="20"/>
          <w:szCs w:val="20"/>
        </w:rPr>
        <w:t>10</w:t>
      </w:r>
      <w:r w:rsidRPr="006F4439">
        <w:rPr>
          <w:rFonts w:eastAsia="標楷體" w:hint="eastAsia"/>
          <w:sz w:val="20"/>
          <w:szCs w:val="20"/>
        </w:rPr>
        <w:t>月</w:t>
      </w:r>
      <w:r w:rsidRPr="006F4439">
        <w:rPr>
          <w:rFonts w:eastAsia="標楷體" w:hint="eastAsia"/>
          <w:sz w:val="20"/>
          <w:szCs w:val="20"/>
        </w:rPr>
        <w:t>1</w:t>
      </w:r>
      <w:r w:rsidRPr="006F4439">
        <w:rPr>
          <w:rFonts w:eastAsia="標楷體" w:hint="eastAsia"/>
          <w:sz w:val="20"/>
          <w:szCs w:val="20"/>
        </w:rPr>
        <w:t>日。</w:t>
      </w:r>
    </w:p>
    <w:p w14:paraId="089CD6AC" w14:textId="77777777" w:rsidR="00560A98" w:rsidRDefault="00560A98" w:rsidP="00560A98">
      <w:pPr>
        <w:spacing w:line="280" w:lineRule="exact"/>
        <w:ind w:leftChars="-177" w:left="1" w:hangingChars="213" w:hanging="426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　　</w:t>
      </w:r>
      <w:r>
        <w:rPr>
          <w:rFonts w:eastAsia="標楷體" w:hint="eastAsia"/>
          <w:sz w:val="20"/>
          <w:szCs w:val="20"/>
        </w:rPr>
        <w:t>2.</w:t>
      </w:r>
      <w:r w:rsidRPr="00853E96">
        <w:rPr>
          <w:rFonts w:eastAsia="標楷體" w:hint="eastAsia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指數</w:t>
      </w:r>
      <w:r w:rsidRPr="00853E96">
        <w:rPr>
          <w:rFonts w:eastAsia="標楷體" w:hint="eastAsia"/>
          <w:sz w:val="20"/>
          <w:szCs w:val="20"/>
        </w:rPr>
        <w:t>主要用於評估研究人員的學術產出數量與學術產出的水平，其計算是基於研究者的論文數量及其論文</w:t>
      </w:r>
      <w:r w:rsidRPr="00853E96">
        <w:rPr>
          <w:rFonts w:eastAsia="標楷體" w:hint="eastAsia"/>
          <w:bCs/>
          <w:sz w:val="20"/>
          <w:szCs w:val="20"/>
        </w:rPr>
        <w:t>被引用的次數。</w:t>
      </w:r>
    </w:p>
    <w:p w14:paraId="03E42E4C" w14:textId="77777777" w:rsidR="00560A98" w:rsidRPr="00CD6054" w:rsidRDefault="00560A98" w:rsidP="00560A98">
      <w:pPr>
        <w:spacing w:line="280" w:lineRule="exact"/>
        <w:ind w:leftChars="-177" w:left="1" w:hangingChars="213" w:hanging="426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　　</w:t>
      </w:r>
      <w:r>
        <w:rPr>
          <w:rFonts w:eastAsia="標楷體" w:hint="eastAsia"/>
          <w:bCs/>
          <w:sz w:val="20"/>
          <w:szCs w:val="20"/>
        </w:rPr>
        <w:t>3.</w:t>
      </w:r>
      <w:r w:rsidRPr="00853E96">
        <w:rPr>
          <w:rFonts w:eastAsia="標楷體" w:hint="eastAsia"/>
          <w:bCs/>
          <w:sz w:val="20"/>
          <w:szCs w:val="20"/>
        </w:rPr>
        <w:t>「近</w:t>
      </w:r>
      <w:r w:rsidRPr="00853E96">
        <w:rPr>
          <w:rFonts w:eastAsia="標楷體"/>
          <w:bCs/>
          <w:sz w:val="20"/>
          <w:szCs w:val="20"/>
        </w:rPr>
        <w:t>10</w:t>
      </w:r>
      <w:r w:rsidRPr="00853E96">
        <w:rPr>
          <w:rFonts w:eastAsia="標楷體" w:hint="eastAsia"/>
          <w:bCs/>
          <w:sz w:val="20"/>
          <w:szCs w:val="20"/>
        </w:rPr>
        <w:t>年全校</w:t>
      </w:r>
      <w:r w:rsidRPr="00853E96">
        <w:rPr>
          <w:rFonts w:eastAsia="標楷體"/>
          <w:bCs/>
          <w:sz w:val="20"/>
          <w:szCs w:val="20"/>
        </w:rPr>
        <w:t>(</w:t>
      </w:r>
      <w:r w:rsidRPr="00853E96">
        <w:rPr>
          <w:rFonts w:eastAsia="標楷體" w:hint="eastAsia"/>
          <w:bCs/>
          <w:sz w:val="20"/>
          <w:szCs w:val="20"/>
        </w:rPr>
        <w:t>或各院</w:t>
      </w:r>
      <w:r w:rsidRPr="00853E96">
        <w:rPr>
          <w:rFonts w:eastAsia="標楷體"/>
          <w:bCs/>
          <w:sz w:val="20"/>
          <w:szCs w:val="20"/>
        </w:rPr>
        <w:t>)H</w:t>
      </w:r>
      <w:r w:rsidRPr="00853E96">
        <w:rPr>
          <w:rFonts w:eastAsia="標楷體" w:hint="eastAsia"/>
          <w:bCs/>
          <w:sz w:val="20"/>
          <w:szCs w:val="20"/>
        </w:rPr>
        <w:t>指數」之計算公式，根據</w:t>
      </w:r>
      <w:r w:rsidRPr="00853E96">
        <w:rPr>
          <w:rFonts w:eastAsia="標楷體"/>
          <w:bCs/>
          <w:sz w:val="20"/>
          <w:szCs w:val="20"/>
        </w:rPr>
        <w:t>Hirsch</w:t>
      </w:r>
      <w:r w:rsidRPr="00853E96">
        <w:rPr>
          <w:rFonts w:eastAsia="標楷體" w:hint="eastAsia"/>
          <w:bCs/>
          <w:sz w:val="20"/>
          <w:szCs w:val="20"/>
        </w:rPr>
        <w:t>於</w:t>
      </w:r>
      <w:r w:rsidRPr="00853E96">
        <w:rPr>
          <w:rFonts w:eastAsia="標楷體"/>
          <w:bCs/>
          <w:sz w:val="20"/>
          <w:szCs w:val="20"/>
        </w:rPr>
        <w:t>2005</w:t>
      </w:r>
      <w:r w:rsidRPr="00853E96">
        <w:rPr>
          <w:rFonts w:eastAsia="標楷體" w:hint="eastAsia"/>
          <w:bCs/>
          <w:sz w:val="20"/>
          <w:szCs w:val="20"/>
        </w:rPr>
        <w:t>年提出之定義，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指數「科學家所擁有的</w:t>
      </w:r>
      <w:r w:rsidRPr="00853E96">
        <w:rPr>
          <w:rFonts w:eastAsia="標楷體"/>
          <w:bCs/>
          <w:sz w:val="20"/>
          <w:szCs w:val="20"/>
        </w:rPr>
        <w:t>Np</w:t>
      </w:r>
      <w:r w:rsidRPr="00853E96">
        <w:rPr>
          <w:rFonts w:eastAsia="標楷體" w:hint="eastAsia"/>
          <w:bCs/>
          <w:sz w:val="20"/>
          <w:szCs w:val="20"/>
        </w:rPr>
        <w:t>篇文章中，有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篇被引次數達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次或以上的文章，且其他文章</w:t>
      </w:r>
      <w:r w:rsidRPr="00853E96">
        <w:rPr>
          <w:rFonts w:eastAsia="標楷體"/>
          <w:bCs/>
          <w:sz w:val="20"/>
          <w:szCs w:val="20"/>
        </w:rPr>
        <w:t>(Np – h)</w:t>
      </w:r>
      <w:r w:rsidRPr="00853E96">
        <w:rPr>
          <w:rFonts w:eastAsia="標楷體" w:hint="eastAsia"/>
          <w:bCs/>
          <w:sz w:val="20"/>
          <w:szCs w:val="20"/>
        </w:rPr>
        <w:t>每篇被引次數皆小於或等於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，則其有一指數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。」</w:t>
      </w:r>
      <w:r w:rsidRPr="00853E96">
        <w:rPr>
          <w:rFonts w:eastAsia="標楷體"/>
          <w:bCs/>
          <w:sz w:val="20"/>
          <w:szCs w:val="20"/>
        </w:rPr>
        <w:t xml:space="preserve"> (Hirsch, J. E. (2005). An index to quantify an individual's scientific research output. Proceedings of the National Academy of Sciences of the United States of America, 102(46), 16569–16572.)</w:t>
      </w:r>
      <w:r w:rsidRPr="00853E96">
        <w:rPr>
          <w:rFonts w:eastAsia="標楷體" w:hint="eastAsia"/>
          <w:bCs/>
          <w:sz w:val="20"/>
          <w:szCs w:val="20"/>
        </w:rPr>
        <w:t>。應用至各校或各院之</w:t>
      </w:r>
      <w:r w:rsidRPr="00853E96">
        <w:rPr>
          <w:rFonts w:eastAsia="標楷體"/>
          <w:bCs/>
          <w:sz w:val="20"/>
          <w:szCs w:val="20"/>
        </w:rPr>
        <w:t>10</w:t>
      </w:r>
      <w:r w:rsidRPr="00853E96">
        <w:rPr>
          <w:rFonts w:eastAsia="標楷體" w:hint="eastAsia"/>
          <w:bCs/>
          <w:sz w:val="20"/>
          <w:szCs w:val="20"/>
        </w:rPr>
        <w:t>年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指數上，則可顯示如下：全校（或各院）</w:t>
      </w:r>
      <w:r w:rsidRPr="00853E96">
        <w:rPr>
          <w:rFonts w:eastAsia="標楷體"/>
          <w:bCs/>
          <w:sz w:val="20"/>
          <w:szCs w:val="20"/>
        </w:rPr>
        <w:t>10</w:t>
      </w:r>
      <w:r w:rsidRPr="00853E96">
        <w:rPr>
          <w:rFonts w:eastAsia="標楷體" w:hint="eastAsia"/>
          <w:bCs/>
          <w:sz w:val="20"/>
          <w:szCs w:val="20"/>
        </w:rPr>
        <w:t>年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指數＝全校（或各院）於</w:t>
      </w:r>
      <w:r w:rsidRPr="00853E96">
        <w:rPr>
          <w:rFonts w:eastAsia="標楷體"/>
          <w:bCs/>
          <w:sz w:val="20"/>
          <w:szCs w:val="20"/>
        </w:rPr>
        <w:t>20</w:t>
      </w:r>
      <w:r w:rsidRPr="00853E96">
        <w:rPr>
          <w:rFonts w:eastAsia="標楷體" w:hint="eastAsia"/>
          <w:bCs/>
          <w:sz w:val="20"/>
          <w:szCs w:val="20"/>
        </w:rPr>
        <w:t>1</w:t>
      </w:r>
      <w:r>
        <w:rPr>
          <w:rFonts w:eastAsia="標楷體" w:hint="eastAsia"/>
          <w:bCs/>
          <w:sz w:val="20"/>
          <w:szCs w:val="20"/>
        </w:rPr>
        <w:t>1</w:t>
      </w:r>
      <w:r w:rsidRPr="00853E96">
        <w:rPr>
          <w:rFonts w:eastAsia="標楷體"/>
          <w:bCs/>
          <w:sz w:val="20"/>
          <w:szCs w:val="20"/>
        </w:rPr>
        <w:t>-20</w:t>
      </w:r>
      <w:r>
        <w:rPr>
          <w:rFonts w:eastAsia="標楷體" w:hint="eastAsia"/>
          <w:bCs/>
          <w:sz w:val="20"/>
          <w:szCs w:val="20"/>
        </w:rPr>
        <w:t>20</w:t>
      </w:r>
      <w:r w:rsidRPr="00853E96">
        <w:rPr>
          <w:rFonts w:eastAsia="標楷體" w:hint="eastAsia"/>
          <w:bCs/>
          <w:sz w:val="20"/>
          <w:szCs w:val="20"/>
        </w:rPr>
        <w:t>年間所擁有的</w:t>
      </w:r>
      <w:r w:rsidRPr="00853E96">
        <w:rPr>
          <w:rFonts w:eastAsia="標楷體"/>
          <w:bCs/>
          <w:sz w:val="20"/>
          <w:szCs w:val="20"/>
        </w:rPr>
        <w:t>Np</w:t>
      </w:r>
      <w:r w:rsidRPr="00853E96">
        <w:rPr>
          <w:rFonts w:eastAsia="標楷體" w:hint="eastAsia"/>
          <w:bCs/>
          <w:sz w:val="20"/>
          <w:szCs w:val="20"/>
        </w:rPr>
        <w:t>篇文章中，有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篇被引次數達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次或以上的文章，且其他文章</w:t>
      </w:r>
      <w:r w:rsidRPr="00853E96">
        <w:rPr>
          <w:rFonts w:eastAsia="標楷體"/>
          <w:bCs/>
          <w:sz w:val="20"/>
          <w:szCs w:val="20"/>
        </w:rPr>
        <w:t>(Np – h)</w:t>
      </w:r>
      <w:r w:rsidRPr="00853E96">
        <w:rPr>
          <w:rFonts w:eastAsia="標楷體" w:hint="eastAsia"/>
          <w:bCs/>
          <w:sz w:val="20"/>
          <w:szCs w:val="20"/>
        </w:rPr>
        <w:t>每篇被引次數皆小於或等於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，則其有一指數</w:t>
      </w:r>
      <w:r w:rsidRPr="00853E96">
        <w:rPr>
          <w:rFonts w:eastAsia="標楷體"/>
          <w:bCs/>
          <w:sz w:val="20"/>
          <w:szCs w:val="20"/>
        </w:rPr>
        <w:t>h</w:t>
      </w:r>
      <w:r w:rsidRPr="00853E96">
        <w:rPr>
          <w:rFonts w:eastAsia="標楷體" w:hint="eastAsia"/>
          <w:bCs/>
          <w:sz w:val="20"/>
          <w:szCs w:val="20"/>
        </w:rPr>
        <w:t>。</w:t>
      </w:r>
    </w:p>
    <w:p w14:paraId="2A24BD65" w14:textId="22BD5A77" w:rsidR="00455927" w:rsidRPr="00560A98" w:rsidRDefault="00455927" w:rsidP="00AA46CC">
      <w:pPr>
        <w:rPr>
          <w:rFonts w:eastAsia="標楷體"/>
        </w:rPr>
      </w:pPr>
    </w:p>
    <w:sectPr w:rsidR="00455927" w:rsidRPr="00560A98" w:rsidSect="003618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5E39" w14:textId="77777777" w:rsidR="006370E5" w:rsidRDefault="006370E5" w:rsidP="0036181D">
      <w:r>
        <w:separator/>
      </w:r>
    </w:p>
  </w:endnote>
  <w:endnote w:type="continuationSeparator" w:id="0">
    <w:p w14:paraId="3666CF92" w14:textId="77777777" w:rsidR="006370E5" w:rsidRDefault="006370E5" w:rsidP="0036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9C3A" w14:textId="77777777" w:rsidR="006370E5" w:rsidRDefault="006370E5" w:rsidP="0036181D">
      <w:r>
        <w:separator/>
      </w:r>
    </w:p>
  </w:footnote>
  <w:footnote w:type="continuationSeparator" w:id="0">
    <w:p w14:paraId="06F82995" w14:textId="77777777" w:rsidR="006370E5" w:rsidRDefault="006370E5" w:rsidP="00361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D"/>
    <w:rsid w:val="00033D23"/>
    <w:rsid w:val="001F6968"/>
    <w:rsid w:val="00206DDA"/>
    <w:rsid w:val="002B644B"/>
    <w:rsid w:val="0036181D"/>
    <w:rsid w:val="00393F48"/>
    <w:rsid w:val="003B3721"/>
    <w:rsid w:val="003B78ED"/>
    <w:rsid w:val="00455927"/>
    <w:rsid w:val="005360C4"/>
    <w:rsid w:val="00560A98"/>
    <w:rsid w:val="006370E5"/>
    <w:rsid w:val="007D2E76"/>
    <w:rsid w:val="008150CD"/>
    <w:rsid w:val="00864C94"/>
    <w:rsid w:val="008C0DD8"/>
    <w:rsid w:val="008D63D1"/>
    <w:rsid w:val="00AA46CC"/>
    <w:rsid w:val="00C25813"/>
    <w:rsid w:val="00E258BD"/>
    <w:rsid w:val="00E44AA1"/>
    <w:rsid w:val="00F0310C"/>
    <w:rsid w:val="00F659BF"/>
    <w:rsid w:val="00F930DD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1C24"/>
  <w15:chartTrackingRefBased/>
  <w15:docId w15:val="{F579E9EA-DED9-40D9-BC3D-A1EFD83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1D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18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181D"/>
    <w:rPr>
      <w:sz w:val="20"/>
      <w:szCs w:val="20"/>
    </w:rPr>
  </w:style>
  <w:style w:type="paragraph" w:styleId="a7">
    <w:name w:val="caption"/>
    <w:basedOn w:val="a"/>
    <w:next w:val="a"/>
    <w:qFormat/>
    <w:rsid w:val="0036181D"/>
    <w:pPr>
      <w:widowControl w:val="0"/>
    </w:pPr>
    <w:rPr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32A4-5DC2-4D8C-9DBD-BCB78F9F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iaid12345</dc:creator>
  <cp:keywords/>
  <dc:description/>
  <cp:lastModifiedBy>iaid12345</cp:lastModifiedBy>
  <cp:revision>14</cp:revision>
  <dcterms:created xsi:type="dcterms:W3CDTF">2022-10-18T06:57:00Z</dcterms:created>
  <dcterms:modified xsi:type="dcterms:W3CDTF">2022-10-20T02:17:00Z</dcterms:modified>
</cp:coreProperties>
</file>