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jc w:val="center"/>
      </w:pPr>
      <w:r>
        <w:rPr>
          <w:b/>
          <w:sz w:val="36"/>
        </w:rPr>
        <w:t>Réglementation financière — 7fe23a191b</w:t>
      </w:r>
    </w:p>
    <w:p>
      <w:pPr>
        <w:spacing w:before="0" w:after="240" w:line="276" w:lineRule="auto"/>
        <w:jc w:val="center"/>
      </w:pPr>
      <w:r>
        <w:rPr>
          <w:i/>
          <w:sz w:val="20"/>
        </w:rPr>
        <w:t>Langue : fr | Domaine : Réglementation financière</w:t>
        <w:br/>
      </w:r>
      <w:r>
        <w:rPr>
          <w:i/>
          <w:sz w:val="20"/>
        </w:rPr>
        <w:t>Type : Document juridique ou réglementaire</w:t>
      </w:r>
    </w:p>
    <w:p>
      <w:pPr>
        <w:spacing w:before="80" w:after="120" w:line="276" w:lineRule="auto"/>
      </w:pPr>
      <w:r>
        <w:rPr>
          <w:b/>
          <w:sz w:val="28"/>
        </w:rPr>
        <w:t>Contenu du document</w:t>
      </w:r>
    </w:p>
    <w:p>
      <w:pPr>
        <w:spacing w:before="0" w:after="120" w:line="276" w:lineRule="auto"/>
      </w:pPr>
      <w:r>
        <w:t>Article 313-19 en vigueur au 22 novembre 2022 Réglementation Règlement général RG en vigueur au 01/01/2026 Article 313-19 Titre I - Prestataires de services d'investissement Chapitre III - Exigences en matière de gouvernance des instruments financiers Section 2 - Obligations en matière de gouvernance des instruments financiers applicables aux distributeurs Afficher les notes Partager par mail Partager sur Twitter Partager sur Linkedin Partager sur Facebook Imprimer Télécharger Article précédent Article 313-19 Article suivant Règlement général de l'AMF Article 313-19 en vigueur au 22 novembre 2022 Version en vigueur au 22 novembre 2022 Afficher toutes les versions ELI : /fr/eli/fr/aai/amf/rg/article/313-19/20221122/notes Article 313-19 Le distributeur met en place un dispositif adéquat de gouvernance des instruments financiers, afin de s'assurer que l'instrument financier et le service qu'il entend offrir ou recommander est compatible avec les besoins, les caractéristiques et les objectifs, y compris les éventuels objectifs en matière de durabilité, du marché cible défini et que la stratégie de distribution prévue est compatible avec ce marché cible. Il identifie et évalue la situation et les besoins des clients qu'il a l'intention de viser pour s'assurer qu'il ne soit pas porté atteinte à leurs intérêts à la suite de pressions commerciales ou de financement. Dans ce cadre, il identifie le ou les éventuels groupes de clients dont les besoins, caractéristiques et objectifs ne sont pas compatibles avec l'instrument financier ou le service distribué. Toutefois, si cet instrument prend en considération des facteurs de durabilité, tels que définis par l'article 2, point 24, du règlement (UE) 2019/2088 du Parlement européen et du Conseil, ceux-ci ne sont pas pris en compte au titre d'une quelconque incompatibilité. Le distributeur obtient du producteur ou de la personne mentionnée au II de l'article 313-1 des informations nécessaires à la compréhension et la connaissance de l'instrument financier qu'il a l'intention de recommander ou vendre afin que la distribution soit conforme aux besoins, caractéristiques et objectifs du marché cible défini. Le distributeur prend également toutes les mesures raisonnables pour obtenir d'une personne mentionnée au III de l'article 313-1 des informations adéquates et fiables afin de distribuer tout instrument financier conformément aux besoins, caractéristiques et objectifs du marché cible. Lorsque des informations pertinentes n'ont pas été diffusées auprès du public, le distributeur prend les mesures nécessaires pour obtenir ces informations auprès de la personne mentionnée au III de l'article 313-1 ou de toute personne agissant pour le compte de cette dernière. Une information publique est acceptable, si elle est claire, fiable et si elle a été établie pour satisfaire aux obligations légales ou réglementaires, telles que les dispositions relatives à l'information des investisseurs prévues par la directive 2003/71/CE du 4 novembre 2003 ou par la directive 2004/109/CE du 15 décembre 2004. Cette obligation s'applique aux produits distribués sur les marchés primaires et secondaires, et de manière proportionnée en tenant compte de la disponibilité de l'information publique et de la complexité du produit. Le distributeur utilise les informations obtenues selon le cas auprès des personnes mentionnées aux I à III de l'article 313-1 , ainsi que les informations concernant ses propres clients, pour définir un marché cible et une stratégie de distribution. Lorsqu'il agit à la fois en tant que producteur et distributeur, une seule évaluation du marché cible est requise. ## Toutes les versions - Version en vigueur au 22 novembre 2022 - Version en vigueur du 3 janvier 2018 au 21 novembre 2022 - Version en vigueur du 21 décembre 2013 au 2 janvier 2018 - Version en vigueur du 21 octobre 2011 au 20 décembre 2013 - Version en vigueur du 1 novembre 2007 au 20 octobre 2011</w:t>
      </w:r>
    </w:p>
    <w:p>
      <w:pPr>
        <w:spacing w:before="160" w:after="0" w:line="276" w:lineRule="auto"/>
      </w:pPr>
      <w:r>
        <w:rPr>
          <w:b/>
          <w:sz w:val="18"/>
        </w:rPr>
        <w:t xml:space="preserve">Provenance : </w:t>
      </w:r>
      <w:r>
        <w:rPr>
          <w:sz w:val="18"/>
        </w:rPr>
        <w:t>jeu de données Hugging Face finaleads/french-corpus-llm-sample ; split échantillon ; fichier source sample.jsonl ; licence déclarée : Etalab-2.0.</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Corpus expérimental bilingue — Hugging Face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