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00"/>
        <w:jc w:val="center"/>
      </w:pPr>
      <w:r>
        <w:rPr>
          <w:rFonts w:ascii="Calibri" w:hAnsi="Calibri"/>
          <w:b/>
          <w:color w:val="1F4D78"/>
          <w:sz w:val="48"/>
        </w:rPr>
        <w:t>Guide de requêtes de test</w:t>
      </w:r>
    </w:p>
    <w:p>
      <w:pPr>
        <w:spacing w:after="240"/>
        <w:jc w:val="center"/>
      </w:pPr>
      <w:r>
        <w:rPr>
          <w:rFonts w:ascii="Calibri" w:hAnsi="Calibri"/>
          <w:color w:val="464646"/>
          <w:sz w:val="26"/>
        </w:rPr>
        <w:t>Corpus bilingue de documents expérimentaux</w:t>
      </w:r>
    </w:p>
    <w:p>
      <w:pPr>
        <w:spacing w:after="160"/>
        <w:ind w:left="216" w:right="216"/>
        <w:shd w:fill="E8EEF5"/>
      </w:pPr>
      <w:r>
        <w:rPr>
          <w:rFonts w:ascii="Calibri" w:hAnsi="Calibri"/>
          <w:b/>
          <w:color w:val="1F4D78"/>
        </w:rPr>
        <w:t xml:space="preserve">Utilisation. </w:t>
      </w:r>
      <w:r>
        <w:t>Chaque formulation ci-dessous peut être saisie telle quelle dans l’interface Streamlit ou envoyée à l’API via la route /search. Les requêtes sont classées selon la langue, le domaine et le document du corpus initial.</w:t>
      </w:r>
    </w:p>
    <w:p>
      <w:pPr>
        <w:pStyle w:val="Heading1"/>
        <w:keepNext/>
      </w:pPr>
      <w:r>
        <w:t>Français</w:t>
      </w:r>
    </w:p>
    <w:p>
      <w:pPr>
        <w:pStyle w:val="Heading2"/>
        <w:keepNext/>
      </w:pPr>
      <w:r>
        <w:t>Juridique et réglementation</w:t>
      </w:r>
    </w:p>
    <w:p>
      <w:pPr>
        <w:pStyle w:val="Heading3"/>
        <w:keepNext/>
      </w:pPr>
      <w:r>
        <w:t>Article 313-19 AMF — Gouvernance des instruments financiers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fr/legal/amf_v2_7fe23a191b.txt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Quelles obligations de gouvernance incombent au distributeur d’instruments financiers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Comment le distributeur définit-il le marché cible d’un produit financier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Quelles informations le distributeur doit-il obtenir avant de recommander un instrument financier ?</w:t>
      </w:r>
    </w:p>
    <w:p>
      <w:pPr>
        <w:pStyle w:val="Heading3"/>
        <w:keepNext/>
      </w:pPr>
      <w:r>
        <w:t>BOFiP — Exonération de TVA liée à l’importation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fr/legal/bofip_b5523a42f9.txt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Quelles prestations liées à l’importation peuvent être exonérées de TVA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Comment prouver qu’une commission est incluse dans la base d’imposition à l’importation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Quels frais accessoires sont pris en compte dans la base de TVA à l’importation ?</w:t>
      </w:r>
    </w:p>
    <w:p>
      <w:pPr>
        <w:pStyle w:val="Heading3"/>
        <w:keepNext/>
      </w:pPr>
      <w:r>
        <w:t>Jade — Taxe foncière sur des locaux commerciaux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fr/legal/jade_1b8ed4aa8e.txt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Pourquoi la demande de réduction de taxe foncière de la SCI Briançon a-t-elle été rejetée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Quel local de comparaison a été retenu pour évaluer les locaux commerciaux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 tarif au mètre carré a été appliqué dans cette affaire ?</w:t>
      </w:r>
    </w:p>
    <w:p>
      <w:pPr>
        <w:pStyle w:val="Heading3"/>
        <w:keepNext/>
      </w:pPr>
      <w:r>
        <w:t>Kali — Adhésion à un accord d’intéressement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fr/legal/kali_3fa8599ccc.txt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Comment une entreprise de moins de 50 salariés peut-elle adhérer au dispositif d’intéressement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Quelles formalités suivent l’adhésion à l’accord d’intéressement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Quelle est la durée de l’adhésion et comment fonctionne son renouvellement ?</w:t>
      </w:r>
    </w:p>
    <w:p>
      <w:pPr>
        <w:pStyle w:val="Heading2"/>
        <w:keepNext/>
      </w:pPr>
      <w:r>
        <w:t>Actualités</w:t>
      </w:r>
    </w:p>
    <w:p>
      <w:pPr>
        <w:pStyle w:val="Heading3"/>
        <w:keepNext/>
      </w:pPr>
      <w:r>
        <w:t>FrenchQA — Accord et contrôles administratifs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fr/news/frenchqa_actualite_1.txt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Quelles conséquences administratives l’accord ne permet-il pas d’éviter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L’accord supprime-t-il les contrôles douaniers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Quels obstacles concernent les entreprises qui échangent sans freins ?</w:t>
      </w:r>
    </w:p>
    <w:p>
      <w:pPr>
        <w:pStyle w:val="Heading3"/>
        <w:keepNext/>
      </w:pPr>
      <w:r>
        <w:t>FrenchQA — Restrictions pour les éleveurs de visons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fr/news/frenchqa_actualite_2.txt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À quelle condition les restrictions imposées aux éleveurs de visons sont-elles assouplies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Quel ministère annonce l’assouplissement des mesures sanitaires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 se passe-t-il en l’absence de nouvelles contaminations ?</w:t>
      </w:r>
    </w:p>
    <w:p>
      <w:pPr>
        <w:pStyle w:val="Heading3"/>
        <w:keepNext/>
      </w:pPr>
      <w:r>
        <w:t>FrenchQA — Patrimoine minier et tourisme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fr/news/frenchqa_actualite_3.txt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Quel organisme a reconnu ce territoire comme patrimoine mondial en 2012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Comment l’ancien pays minier s’est-il réinventé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 musée a contribué au développement du tourisme local ?</w:t>
      </w:r>
    </w:p>
    <w:p>
      <w:pPr>
        <w:pStyle w:val="Heading3"/>
        <w:keepNext/>
      </w:pPr>
      <w:r>
        <w:t>FrenchQA — Risques sanitaires de produits de consommation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fr/news/frenchqa_actualite_4.txt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Quels risques sanitaires sont associés à la consommation de ces produits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Pourquoi les bénéfices de ces produits sont-ils contestés 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Quels problèmes de santé ces produits peuvent-ils provoquer ?</w:t>
      </w:r>
    </w:p>
    <w:p>
      <w:pPr>
        <w:pStyle w:val="Heading1"/>
        <w:keepNext/>
      </w:pPr>
      <w:r>
        <w:t>Anglais</w:t>
      </w:r>
    </w:p>
    <w:p>
      <w:pPr>
        <w:pStyle w:val="Heading2"/>
        <w:keepNext/>
      </w:pPr>
      <w:r>
        <w:t>International news</w:t>
      </w:r>
    </w:p>
    <w:p>
      <w:pPr>
        <w:pStyle w:val="Heading3"/>
        <w:keepNext/>
      </w:pPr>
      <w:r>
        <w:t>AG News — Venezuelan referendum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en/news/ag_news_0_1_actualites-internationales.txt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What was the purpose of the referendum in Venezuela?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Could the vote remove Hugo Chavez from office?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How long would Chavez govern if he won a new mandate?</w:t>
      </w:r>
    </w:p>
    <w:p>
      <w:pPr>
        <w:pStyle w:val="Heading3"/>
        <w:keepNext/>
      </w:pPr>
      <w:r>
        <w:t>AG News — Seoul protest over Iraq deployment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en/news/ag_news_0_2_actualites-internationales.txt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Why did protesters clash with police in Seoul?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What decision did the South Korean government make about Iraq?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How did police disperse the demonstrators?</w:t>
      </w:r>
    </w:p>
    <w:p>
      <w:pPr>
        <w:pStyle w:val="Heading2"/>
        <w:keepNext/>
      </w:pPr>
      <w:r>
        <w:t>Sports</w:t>
      </w:r>
    </w:p>
    <w:p>
      <w:pPr>
        <w:pStyle w:val="Heading3"/>
        <w:keepNext/>
      </w:pPr>
      <w:r>
        <w:t>AG News — Phelps and the 200-meter freestyle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en/news/ag_news_1_1_sport.txt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Who qualified for the Olympic 200-meter freestyle semifinals?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Which relay final was Michael Phelps added to?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Who were faster than Phelps in the preliminary heats?</w:t>
      </w:r>
    </w:p>
    <w:p>
      <w:pPr>
        <w:pStyle w:val="Heading3"/>
        <w:keepNext/>
      </w:pPr>
      <w:r>
        <w:t>AG News — Reds versus Padres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en/news/ag_news_1_2_sport.txt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Which player hit two home runs for the Cincinnati Reds?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What was the score of the Reds-Padres game?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How did the loss affect the Padres' wild-card lead?</w:t>
      </w:r>
    </w:p>
    <w:p>
      <w:pPr>
        <w:pStyle w:val="Heading2"/>
        <w:keepNext/>
      </w:pPr>
      <w:r>
        <w:t>Economy and business</w:t>
      </w:r>
    </w:p>
    <w:p>
      <w:pPr>
        <w:pStyle w:val="Heading3"/>
        <w:keepNext/>
      </w:pPr>
      <w:r>
        <w:t>AG News — Wall Street short sellers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en/news/ag_news_2_1_economie-et-entreprises.txt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Why are short sellers on Wall Street seeing green again?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What does the article say about Wall Street bears?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Who are described as ultra-cynics in the market?</w:t>
      </w:r>
    </w:p>
    <w:p>
      <w:pPr>
        <w:pStyle w:val="Heading3"/>
        <w:keepNext/>
      </w:pPr>
      <w:r>
        <w:t>AG News — Carlyle Group and aerospace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en/news/ag_news_2_2_economie-et-entreprises.txt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What sector is Carlyle Group investing in?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Which industry was Carlyle previously known to target?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What new market did Carlyle place bets on?</w:t>
      </w:r>
    </w:p>
    <w:p>
      <w:pPr>
        <w:pStyle w:val="Heading2"/>
        <w:keepNext/>
      </w:pPr>
      <w:r>
        <w:t>Science and technology</w:t>
      </w:r>
    </w:p>
    <w:p>
      <w:pPr>
        <w:pStyle w:val="Heading3"/>
        <w:keepNext/>
      </w:pPr>
      <w:r>
        <w:t>AG News — Madden NFL 2005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en/news/ag_news_3_1_sciences-et-technologies.txt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Why might office absenteeism have risen on Tuesday?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Which football video game was released?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Why did some fans take a sick day?</w:t>
      </w:r>
    </w:p>
    <w:p>
      <w:pPr>
        <w:pStyle w:val="Heading3"/>
        <w:keepNext/>
      </w:pPr>
      <w:r>
        <w:t>AG News — Wireless networking standard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en/news/ag_news_3_2_sciences-et-technologies.txt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Which companies proposed a new wireless networking standard?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How much faster is the proposed wireless format?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What kind of networking proposal did technology companies announce?</w:t>
      </w:r>
    </w:p>
    <w:p>
      <w:pPr>
        <w:pStyle w:val="Heading2"/>
        <w:keepNext/>
      </w:pPr>
      <w:r>
        <w:t>Health and biomedical research</w:t>
      </w:r>
    </w:p>
    <w:p>
      <w:pPr>
        <w:pStyle w:val="Heading3"/>
        <w:keepNext/>
      </w:pPr>
      <w:r>
        <w:t>PubMedQA — Mitochondria and lace plant cell death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en/health/pubmedqa_21645374.txt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Do mitochondria influence programmed cell death in lace plant leaves?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What effect did cyclosporine A have on leaf perforations?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How did mitochondrial dynamics change during programmed cell death?</w:t>
      </w:r>
    </w:p>
    <w:p>
      <w:pPr>
        <w:pStyle w:val="Heading3"/>
        <w:keepNext/>
      </w:pPr>
      <w:r>
        <w:t>PubMedQA — Landolt C and Snellen E visual acuity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en/health/pubmedqa_16418930.txt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How do Snellen E and Landolt C acuity measurements compare?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Was Snellen E higher than Landolt C in strabismus amblyopia?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What population was tested in the visual acuity study?</w:t>
      </w:r>
    </w:p>
    <w:p>
      <w:pPr>
        <w:pStyle w:val="Heading2"/>
        <w:keepNext/>
        <w:pageBreakBefore/>
      </w:pPr>
      <w:r>
        <w:t>Health and biomedical research (suite)</w:t>
      </w:r>
    </w:p>
    <w:p>
      <w:pPr>
        <w:pStyle w:val="Heading3"/>
        <w:keepNext/>
      </w:pPr>
      <w:r>
        <w:t>PubMedQA — Breast screening in Sami and non-Sami women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en/health/pubmedqa_22564465.txt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How did breast cancer screening attendance differ between Sami and non-Sami women?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What were the recall rates in Sami versus non-Sami populations?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Was invasive cancer detection significantly lower in the Sami group?</w:t>
      </w:r>
    </w:p>
    <w:p>
      <w:pPr>
        <w:pStyle w:val="Heading3"/>
        <w:keepNext/>
      </w:pPr>
      <w:r>
        <w:t>PubMedQA — Prognosis in alcoholic cirrhosis</w:t>
      </w:r>
    </w:p>
    <w:p>
      <w:pPr>
        <w:keepNext/>
        <w:spacing w:after="60"/>
      </w:pPr>
      <w:r>
        <w:rPr>
          <w:rFonts w:ascii="Calibri" w:hAnsi="Calibri"/>
          <w:i/>
          <w:color w:val="666666"/>
          <w:sz w:val="18"/>
        </w:rPr>
        <w:t>Document source : en/health/pubmedqa_23588461.txt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Q1. </w:t>
      </w:r>
      <w:r>
        <w:t>Can ascites volume predict outcomes in alcoholic cirrhosis?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Q2. </w:t>
      </w:r>
      <w:r>
        <w:t>Which measurements were associated with rehospitalization?</w:t>
      </w:r>
    </w:p>
    <w:p>
      <w:pPr>
        <w:pStyle w:val="Queryitem"/>
        <w:keepLines/>
      </w:pPr>
      <w:r>
        <w:rPr>
          <w:rFonts w:ascii="Calibri" w:hAnsi="Calibri"/>
          <w:b/>
          <w:color w:val="1F4D78"/>
        </w:rPr>
        <w:t xml:space="preserve">Q3. </w:t>
      </w:r>
      <w:r>
        <w:t>What was the relationship between dry BMI and mortality?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792" w:left="108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Projet de recherche vectorielle  |  Guide de requêtes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ryitem">
    <w:name w:val="Query item"/>
    <w:basedOn w:val="Normal"/>
    <w:pPr>
      <w:spacing w:after="40" w:line="276" w:lineRule="auto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requêtes de test — corpus bilingue</dc:title>
  <dc:subject>Requêtes de recherche sémantique pour le corpus expérimental</dc:subject>
  <dc:creator>Projet de recherche vectorielle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