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1C71" w14:textId="51BE6780" w:rsidR="009F2252" w:rsidRPr="009F2252" w:rsidRDefault="009F2252" w:rsidP="009F2252">
      <w:pPr>
        <w:pStyle w:val="Encabezado"/>
        <w:jc w:val="center"/>
        <w:rPr>
          <w:rFonts w:ascii="Times New Roman" w:hAnsi="Times New Roman" w:cs="Times New Roman"/>
          <w:b/>
          <w:bCs/>
        </w:rPr>
      </w:pPr>
      <w:r w:rsidRPr="009F2252">
        <w:rPr>
          <w:rFonts w:ascii="Times New Roman" w:hAnsi="Times New Roman" w:cs="Times New Roman"/>
          <w:b/>
          <w:bCs/>
        </w:rPr>
        <w:t>Neuroeducación y Competencias Emocionales: Sinergias para el Aprendizaje en Entornos</w:t>
      </w:r>
    </w:p>
    <w:p w14:paraId="15EDF002" w14:textId="6649D17A" w:rsidR="009F2252" w:rsidRPr="009F2252" w:rsidRDefault="009F2252" w:rsidP="009F2252">
      <w:pPr>
        <w:spacing w:line="360" w:lineRule="auto"/>
        <w:ind w:firstLine="708"/>
        <w:jc w:val="center"/>
        <w:rPr>
          <w:rFonts w:ascii="Times New Roman" w:hAnsi="Times New Roman" w:cs="Times New Roman"/>
          <w:b/>
          <w:bCs/>
        </w:rPr>
      </w:pPr>
      <w:r w:rsidRPr="009F2252">
        <w:rPr>
          <w:rFonts w:ascii="Times New Roman" w:hAnsi="Times New Roman" w:cs="Times New Roman"/>
          <w:b/>
          <w:bCs/>
        </w:rPr>
        <w:t>M</w:t>
      </w:r>
      <w:r w:rsidRPr="009F2252">
        <w:rPr>
          <w:rFonts w:ascii="Times New Roman" w:hAnsi="Times New Roman" w:cs="Times New Roman"/>
          <w:b/>
          <w:bCs/>
        </w:rPr>
        <w:t>ultimodales</w:t>
      </w:r>
    </w:p>
    <w:p w14:paraId="36AF31A3" w14:textId="6AAC3131" w:rsidR="009F2252" w:rsidRPr="000D0640" w:rsidRDefault="009F2252" w:rsidP="009F2252">
      <w:pPr>
        <w:spacing w:line="360" w:lineRule="auto"/>
        <w:jc w:val="center"/>
        <w:rPr>
          <w:rFonts w:ascii="Times New Roman" w:hAnsi="Times New Roman" w:cs="Times New Roman"/>
          <w:i/>
          <w:iCs/>
        </w:rPr>
      </w:pPr>
      <w:r w:rsidRPr="000D0640">
        <w:rPr>
          <w:rFonts w:ascii="Times New Roman" w:hAnsi="Times New Roman" w:cs="Times New Roman"/>
          <w:i/>
          <w:iCs/>
        </w:rPr>
        <w:t>¿Estamos diseñando entornos de aprendizaje para potenciar el cerebro humano o simplemente estamos digitalizando la saturación cognitiva?</w:t>
      </w:r>
    </w:p>
    <w:p w14:paraId="29997F48" w14:textId="77777777" w:rsidR="009F2252" w:rsidRPr="009F2252" w:rsidRDefault="009F2252" w:rsidP="009F2252">
      <w:pPr>
        <w:spacing w:line="360" w:lineRule="auto"/>
        <w:jc w:val="center"/>
      </w:pPr>
    </w:p>
    <w:p w14:paraId="00B4B0E5" w14:textId="77777777" w:rsidR="009F2252" w:rsidRDefault="009F2252" w:rsidP="009F2252">
      <w:pPr>
        <w:spacing w:line="360" w:lineRule="auto"/>
        <w:ind w:firstLine="708"/>
        <w:jc w:val="both"/>
        <w:rPr>
          <w:rFonts w:ascii="Times New Roman" w:hAnsi="Times New Roman" w:cs="Times New Roman"/>
        </w:rPr>
        <w:sectPr w:rsidR="009F2252">
          <w:pgSz w:w="12240" w:h="15840"/>
          <w:pgMar w:top="1417" w:right="1701" w:bottom="1417" w:left="1701" w:header="708" w:footer="708" w:gutter="0"/>
          <w:cols w:space="708"/>
          <w:docGrid w:linePitch="360"/>
        </w:sectPr>
      </w:pPr>
    </w:p>
    <w:p w14:paraId="60BDDC04" w14:textId="7B563EAB"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La educación superior atraviesa una metamorfosis estructural impulsada por la digitalización. En este escenario, la neuroeducación emerge no solo como una tendencia, sino como una necesidad epistemológica para comprender cómo el cerebro procesa la información en entornos saturados de estímulos. Como señala </w:t>
      </w:r>
      <w:r w:rsidRPr="00CB7277">
        <w:rPr>
          <w:rFonts w:ascii="Times New Roman" w:hAnsi="Times New Roman" w:cs="Times New Roman"/>
        </w:rPr>
        <w:t>Mora (2017),</w:t>
      </w:r>
      <w:r w:rsidRPr="009F2252">
        <w:rPr>
          <w:rFonts w:ascii="Times New Roman" w:hAnsi="Times New Roman" w:cs="Times New Roman"/>
        </w:rPr>
        <w:t xml:space="preserve"> el aprendizaje es un proceso intrínsecamente ligado a la emoción; sin un encuadre afectivo, la consolidación de la memoria a largo plazo se ve comprometida. El tránsito hacia la </w:t>
      </w:r>
      <w:r w:rsidRPr="00CB7277">
        <w:rPr>
          <w:rFonts w:ascii="Times New Roman" w:hAnsi="Times New Roman" w:cs="Times New Roman"/>
        </w:rPr>
        <w:t>educación multimodal</w:t>
      </w:r>
      <w:r w:rsidRPr="009F2252">
        <w:rPr>
          <w:rFonts w:ascii="Times New Roman" w:hAnsi="Times New Roman" w:cs="Times New Roman"/>
        </w:rPr>
        <w:t xml:space="preserve"> ha revelado que la eficiencia cognitiva es indisoluble de la estabilidad emocional del estudiante.</w:t>
      </w:r>
    </w:p>
    <w:p w14:paraId="6EAE6A87" w14:textId="5EFA2077"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Desde la neurociencia aplicada, el aprendizaje se define como un cambio en la arquitectura sináptica producto de la experiencia. La educación multimodal ofrece un </w:t>
      </w:r>
      <w:r w:rsidR="00964444">
        <w:rPr>
          <w:rFonts w:ascii="Times New Roman" w:hAnsi="Times New Roman" w:cs="Times New Roman"/>
        </w:rPr>
        <w:t xml:space="preserve">escenario ideal </w:t>
      </w:r>
      <w:r w:rsidRPr="009F2252">
        <w:rPr>
          <w:rFonts w:ascii="Times New Roman" w:hAnsi="Times New Roman" w:cs="Times New Roman"/>
        </w:rPr>
        <w:t xml:space="preserve">para la </w:t>
      </w:r>
      <w:proofErr w:type="spellStart"/>
      <w:r w:rsidRPr="00CB7277">
        <w:rPr>
          <w:rFonts w:ascii="Times New Roman" w:hAnsi="Times New Roman" w:cs="Times New Roman"/>
        </w:rPr>
        <w:t>neuroplasticidad</w:t>
      </w:r>
      <w:proofErr w:type="spellEnd"/>
      <w:r w:rsidRPr="00CB7277">
        <w:rPr>
          <w:rFonts w:ascii="Times New Roman" w:hAnsi="Times New Roman" w:cs="Times New Roman"/>
        </w:rPr>
        <w:t>,</w:t>
      </w:r>
      <w:r w:rsidRPr="009F2252">
        <w:rPr>
          <w:rFonts w:ascii="Times New Roman" w:hAnsi="Times New Roman" w:cs="Times New Roman"/>
        </w:rPr>
        <w:t xml:space="preserve"> ya que permite el uso de múltiples canales sensoriales (visual, auditivo, kinestésico) que refuerzan la codificación de la memoria.</w:t>
      </w:r>
    </w:p>
    <w:p w14:paraId="3439BE85" w14:textId="77777777"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No obstante, el diseño de estos entornos debe considerar la </w:t>
      </w:r>
      <w:r w:rsidRPr="00840C73">
        <w:rPr>
          <w:rFonts w:ascii="Times New Roman" w:hAnsi="Times New Roman" w:cs="Times New Roman"/>
        </w:rPr>
        <w:t xml:space="preserve">Teoría de la Carga Cognitiva. </w:t>
      </w:r>
      <w:proofErr w:type="spellStart"/>
      <w:r w:rsidRPr="00840C73">
        <w:rPr>
          <w:rFonts w:ascii="Times New Roman" w:hAnsi="Times New Roman" w:cs="Times New Roman"/>
        </w:rPr>
        <w:t>Sweller</w:t>
      </w:r>
      <w:proofErr w:type="spellEnd"/>
      <w:r w:rsidRPr="00840C73">
        <w:rPr>
          <w:rFonts w:ascii="Times New Roman" w:hAnsi="Times New Roman" w:cs="Times New Roman"/>
        </w:rPr>
        <w:t xml:space="preserve"> (2011</w:t>
      </w:r>
      <w:r w:rsidRPr="009F2252">
        <w:rPr>
          <w:rFonts w:ascii="Times New Roman" w:hAnsi="Times New Roman" w:cs="Times New Roman"/>
          <w:b/>
          <w:bCs/>
        </w:rPr>
        <w:t>)</w:t>
      </w:r>
      <w:r w:rsidRPr="009F2252">
        <w:rPr>
          <w:rFonts w:ascii="Times New Roman" w:hAnsi="Times New Roman" w:cs="Times New Roman"/>
        </w:rPr>
        <w:t xml:space="preserve"> advierte que si la "carga extrínseca" (un diseño confuso de la plataforma virtual) es demasiado alta, la capacidad del cerebro para procesar el contenido real disminuye drásticamente. Por tanto, la neuroeducación en la universidad debe priorizar la relevancia del estímulo sobre la cantidad </w:t>
      </w:r>
      <w:proofErr w:type="gramStart"/>
      <w:r w:rsidRPr="009F2252">
        <w:rPr>
          <w:rFonts w:ascii="Times New Roman" w:hAnsi="Times New Roman" w:cs="Times New Roman"/>
        </w:rPr>
        <w:t>del mismo</w:t>
      </w:r>
      <w:proofErr w:type="gramEnd"/>
      <w:r w:rsidRPr="009F2252">
        <w:rPr>
          <w:rFonts w:ascii="Times New Roman" w:hAnsi="Times New Roman" w:cs="Times New Roman"/>
        </w:rPr>
        <w:t>.</w:t>
      </w:r>
    </w:p>
    <w:p w14:paraId="264EC95D" w14:textId="54B6BEC3"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Las competencias emocionales, definidas por </w:t>
      </w:r>
      <w:r w:rsidRPr="00507AE8">
        <w:rPr>
          <w:rFonts w:ascii="Times New Roman" w:hAnsi="Times New Roman" w:cs="Times New Roman"/>
        </w:rPr>
        <w:t>Bisquerra y Mateo (2019)</w:t>
      </w:r>
      <w:r w:rsidRPr="009F2252">
        <w:rPr>
          <w:rFonts w:ascii="Times New Roman" w:hAnsi="Times New Roman" w:cs="Times New Roman"/>
        </w:rPr>
        <w:t xml:space="preserve"> como la capacidad de gestionar adecuadamente las emociones, se convierten en el eje </w:t>
      </w:r>
      <w:r w:rsidR="007D7A14">
        <w:rPr>
          <w:rFonts w:ascii="Times New Roman" w:hAnsi="Times New Roman" w:cs="Times New Roman"/>
        </w:rPr>
        <w:t xml:space="preserve">central </w:t>
      </w:r>
      <w:r w:rsidRPr="009F2252">
        <w:rPr>
          <w:rFonts w:ascii="Times New Roman" w:hAnsi="Times New Roman" w:cs="Times New Roman"/>
        </w:rPr>
        <w:t xml:space="preserve">del estudiante universitario. En entornos multimodales, el estudiante se enfrenta a menudo a la frustración técnica y al aislamiento. Aquí, la </w:t>
      </w:r>
      <w:r w:rsidRPr="00507AE8">
        <w:rPr>
          <w:rFonts w:ascii="Times New Roman" w:hAnsi="Times New Roman" w:cs="Times New Roman"/>
        </w:rPr>
        <w:t>autorregulación</w:t>
      </w:r>
      <w:r w:rsidRPr="009F2252">
        <w:rPr>
          <w:rFonts w:ascii="Times New Roman" w:hAnsi="Times New Roman" w:cs="Times New Roman"/>
        </w:rPr>
        <w:t xml:space="preserve"> es crítica: un sistema límbico </w:t>
      </w:r>
      <w:proofErr w:type="spellStart"/>
      <w:r w:rsidRPr="009F2252">
        <w:rPr>
          <w:rFonts w:ascii="Times New Roman" w:hAnsi="Times New Roman" w:cs="Times New Roman"/>
        </w:rPr>
        <w:t>hiperactivado</w:t>
      </w:r>
      <w:proofErr w:type="spellEnd"/>
      <w:r w:rsidRPr="009F2252">
        <w:rPr>
          <w:rFonts w:ascii="Times New Roman" w:hAnsi="Times New Roman" w:cs="Times New Roman"/>
        </w:rPr>
        <w:t xml:space="preserve"> por el estrés segrega cortisol, el cual bloquea las funciones ejecutivas de la corteza prefrontal, impidiendo el razonamiento complejo.</w:t>
      </w:r>
    </w:p>
    <w:p w14:paraId="378FAE7B" w14:textId="522085A7"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La multimodalidad no es solo el uso de tecnología; es la aplicación del </w:t>
      </w:r>
      <w:r w:rsidRPr="009A30C8">
        <w:rPr>
          <w:rFonts w:ascii="Times New Roman" w:hAnsi="Times New Roman" w:cs="Times New Roman"/>
        </w:rPr>
        <w:t>Diseño Universal para el Aprendizaje</w:t>
      </w:r>
      <w:r w:rsidRPr="009A30C8">
        <w:rPr>
          <w:rFonts w:ascii="Times New Roman" w:hAnsi="Times New Roman" w:cs="Times New Roman"/>
        </w:rPr>
        <w:t>, s</w:t>
      </w:r>
      <w:r w:rsidRPr="009A30C8">
        <w:rPr>
          <w:rFonts w:ascii="Times New Roman" w:hAnsi="Times New Roman" w:cs="Times New Roman"/>
        </w:rPr>
        <w:t>egún Rose y Meyer (2002), existen tres redes cerebrales</w:t>
      </w:r>
      <w:r w:rsidRPr="009F2252">
        <w:rPr>
          <w:rFonts w:ascii="Times New Roman" w:hAnsi="Times New Roman" w:cs="Times New Roman"/>
        </w:rPr>
        <w:t xml:space="preserve"> implicadas en el aprendizaje: afectivas, de reconocimiento y estratégicas. La multimodalidad permite estimular estas redes simultáneamente, atendiendo a la diversidad neurocognitiva del aula.</w:t>
      </w:r>
    </w:p>
    <w:p w14:paraId="1E257948" w14:textId="77777777" w:rsidR="009F2252" w:rsidRPr="009F2252" w:rsidRDefault="009F2252" w:rsidP="009F2252">
      <w:pPr>
        <w:spacing w:line="276" w:lineRule="auto"/>
        <w:ind w:firstLine="708"/>
        <w:jc w:val="both"/>
        <w:rPr>
          <w:rFonts w:ascii="Times New Roman" w:hAnsi="Times New Roman" w:cs="Times New Roman"/>
        </w:rPr>
      </w:pPr>
      <w:r w:rsidRPr="00F55FC8">
        <w:rPr>
          <w:rFonts w:ascii="Times New Roman" w:hAnsi="Times New Roman" w:cs="Times New Roman"/>
        </w:rPr>
        <w:t>Howard-Jones (2014)</w:t>
      </w:r>
      <w:r w:rsidRPr="009F2252">
        <w:rPr>
          <w:rFonts w:ascii="Times New Roman" w:hAnsi="Times New Roman" w:cs="Times New Roman"/>
        </w:rPr>
        <w:t xml:space="preserve"> resalta que el uso de elementos interactivos y </w:t>
      </w:r>
      <w:proofErr w:type="spellStart"/>
      <w:r w:rsidRPr="009F2252">
        <w:rPr>
          <w:rFonts w:ascii="Times New Roman" w:hAnsi="Times New Roman" w:cs="Times New Roman"/>
        </w:rPr>
        <w:t>gamificados</w:t>
      </w:r>
      <w:proofErr w:type="spellEnd"/>
      <w:r w:rsidRPr="009F2252">
        <w:rPr>
          <w:rFonts w:ascii="Times New Roman" w:hAnsi="Times New Roman" w:cs="Times New Roman"/>
        </w:rPr>
        <w:t xml:space="preserve"> en plataformas multimodales activa los sistemas de recompensa dopaminérgicos, lo que incrementa la motivación intrínseca y la persistencia en la tarea.</w:t>
      </w:r>
    </w:p>
    <w:p w14:paraId="1EAA7568" w14:textId="7E229B4D" w:rsidR="009F2252" w:rsidRPr="009F2252" w:rsidRDefault="009F2252" w:rsidP="009F2252">
      <w:pPr>
        <w:spacing w:line="276" w:lineRule="auto"/>
        <w:ind w:firstLine="708"/>
        <w:jc w:val="both"/>
        <w:rPr>
          <w:rFonts w:ascii="Times New Roman" w:hAnsi="Times New Roman" w:cs="Times New Roman"/>
        </w:rPr>
      </w:pPr>
      <w:r w:rsidRPr="004E2DD9">
        <w:rPr>
          <w:rFonts w:ascii="Times New Roman" w:hAnsi="Times New Roman" w:cs="Times New Roman"/>
        </w:rPr>
        <w:t>Bruer (2016) advierte</w:t>
      </w:r>
      <w:r w:rsidRPr="009F2252">
        <w:rPr>
          <w:rFonts w:ascii="Times New Roman" w:hAnsi="Times New Roman" w:cs="Times New Roman"/>
        </w:rPr>
        <w:t xml:space="preserve"> que la neurociencia no dicta recetas pedagógicas directas, sino que ofrece principios que deben ser mediadores por la pedagogía. Existe el riesgo de que la multimodalidad fomente una "atención fragmentada" o un aprendizaje superficial si no se diseñan actividades que exijan procesamiento profundo.</w:t>
      </w:r>
    </w:p>
    <w:p w14:paraId="0C66DDBE" w14:textId="0879CF7A" w:rsidR="009F2252" w:rsidRPr="009F2252" w:rsidRDefault="00534FA1" w:rsidP="009F2252">
      <w:pPr>
        <w:spacing w:line="276" w:lineRule="auto"/>
        <w:ind w:firstLine="708"/>
        <w:jc w:val="both"/>
        <w:rPr>
          <w:rFonts w:ascii="Times New Roman" w:hAnsi="Times New Roman" w:cs="Times New Roman"/>
        </w:rPr>
      </w:pPr>
      <w:r w:rsidRPr="00534FA1">
        <w:rPr>
          <w:rFonts w:ascii="Times New Roman" w:hAnsi="Times New Roman" w:cs="Times New Roman"/>
        </w:rPr>
        <w:lastRenderedPageBreak/>
        <w:t xml:space="preserve">Desde la perspectiva de la neurociencia social, </w:t>
      </w:r>
      <w:proofErr w:type="spellStart"/>
      <w:r w:rsidRPr="00534FA1">
        <w:rPr>
          <w:rFonts w:ascii="Times New Roman" w:hAnsi="Times New Roman" w:cs="Times New Roman"/>
        </w:rPr>
        <w:t>Cozolino</w:t>
      </w:r>
      <w:proofErr w:type="spellEnd"/>
      <w:r w:rsidRPr="00534FA1">
        <w:rPr>
          <w:rFonts w:ascii="Times New Roman" w:hAnsi="Times New Roman" w:cs="Times New Roman"/>
        </w:rPr>
        <w:t xml:space="preserve"> (2013) sostiene que el cerebro humano es, ante todo, un órgano social que requiere de la interacción para optimizar el aprendizaje. En consecuencia, la multimodalidad debe aspirar a una 'presencia </w:t>
      </w:r>
      <w:proofErr w:type="spellStart"/>
      <w:r w:rsidRPr="00534FA1">
        <w:rPr>
          <w:rFonts w:ascii="Times New Roman" w:hAnsi="Times New Roman" w:cs="Times New Roman"/>
        </w:rPr>
        <w:t>telematizada</w:t>
      </w:r>
      <w:proofErr w:type="spellEnd"/>
      <w:r w:rsidRPr="00534FA1">
        <w:rPr>
          <w:rFonts w:ascii="Times New Roman" w:hAnsi="Times New Roman" w:cs="Times New Roman"/>
        </w:rPr>
        <w:t>' que trascienda la frialdad del dispositivo. Bajo este enfoque, la competencia emocional del docente evoluciona de una disposición actitudinal a una capacidad de diseño instruccional: el reto consiste en configurar entornos que humanicen la interfaz digital, preservando la resonancia empática necesaria para el crecimiento cognitivo</w:t>
      </w:r>
      <w:r w:rsidR="009F2252" w:rsidRPr="009F2252">
        <w:rPr>
          <w:rFonts w:ascii="Times New Roman" w:hAnsi="Times New Roman" w:cs="Times New Roman"/>
        </w:rPr>
        <w:t xml:space="preserve"> </w:t>
      </w:r>
    </w:p>
    <w:p w14:paraId="60221D36" w14:textId="11F5DE71"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hAnsi="Times New Roman" w:cs="Times New Roman"/>
        </w:rPr>
        <w:t xml:space="preserve">El éxito de los modelos multimodales depende de la capacidad institucional para fomentar la autorregulación emocional y el diseño </w:t>
      </w:r>
      <w:proofErr w:type="spellStart"/>
      <w:r w:rsidRPr="009F2252">
        <w:rPr>
          <w:rFonts w:ascii="Times New Roman" w:hAnsi="Times New Roman" w:cs="Times New Roman"/>
        </w:rPr>
        <w:t>neurodidáctico</w:t>
      </w:r>
      <w:proofErr w:type="spellEnd"/>
      <w:r w:rsidRPr="009F2252">
        <w:rPr>
          <w:rFonts w:ascii="Times New Roman" w:hAnsi="Times New Roman" w:cs="Times New Roman"/>
        </w:rPr>
        <w:t>. La meta final es un aprendizaje que no solo sea digitalmente accesible, sino cerebralmente significativo y emocionalmente enriquecedor.</w:t>
      </w:r>
      <w:r w:rsidRPr="009F2252">
        <w:rPr>
          <w:rFonts w:ascii="Times New Roman" w:hAnsi="Times New Roman" w:cs="Times New Roman"/>
        </w:rPr>
        <w:t xml:space="preserve"> </w:t>
      </w:r>
    </w:p>
    <w:p w14:paraId="69D52481" w14:textId="77777777" w:rsidR="009F2252" w:rsidRPr="009F2252" w:rsidRDefault="009F2252" w:rsidP="009F2252">
      <w:pPr>
        <w:spacing w:line="276" w:lineRule="auto"/>
        <w:ind w:firstLine="708"/>
        <w:jc w:val="both"/>
        <w:rPr>
          <w:rFonts w:ascii="Times New Roman" w:hAnsi="Times New Roman" w:cs="Times New Roman"/>
        </w:rPr>
      </w:pPr>
      <w:r w:rsidRPr="009F2252">
        <w:rPr>
          <w:rFonts w:ascii="Times New Roman" w:eastAsia="Times New Roman" w:hAnsi="Times New Roman" w:cs="Times New Roman"/>
          <w:kern w:val="0"/>
          <w:lang w:eastAsia="es-VE"/>
          <w14:ligatures w14:val="none"/>
        </w:rPr>
        <w:t xml:space="preserve">La práctica docente en entornos multimodales debe basarse en la arquitectura del cerebro. Para optimizar </w:t>
      </w:r>
      <w:r w:rsidRPr="00193F32">
        <w:rPr>
          <w:rFonts w:ascii="Times New Roman" w:eastAsia="Times New Roman" w:hAnsi="Times New Roman" w:cs="Times New Roman"/>
          <w:kern w:val="0"/>
          <w:lang w:eastAsia="es-VE"/>
          <w14:ligatures w14:val="none"/>
        </w:rPr>
        <w:t xml:space="preserve">la atención, se aplica el </w:t>
      </w:r>
      <w:proofErr w:type="spellStart"/>
      <w:r w:rsidRPr="00193F32">
        <w:rPr>
          <w:rFonts w:ascii="Times New Roman" w:eastAsia="Times New Roman" w:hAnsi="Times New Roman" w:cs="Times New Roman"/>
          <w:i/>
          <w:iCs/>
          <w:kern w:val="0"/>
          <w:lang w:eastAsia="es-VE"/>
          <w14:ligatures w14:val="none"/>
        </w:rPr>
        <w:t>micro-learning</w:t>
      </w:r>
      <w:proofErr w:type="spellEnd"/>
      <w:r w:rsidRPr="00193F32">
        <w:rPr>
          <w:rFonts w:ascii="Times New Roman" w:eastAsia="Times New Roman" w:hAnsi="Times New Roman" w:cs="Times New Roman"/>
          <w:kern w:val="0"/>
          <w:lang w:eastAsia="es-VE"/>
          <w14:ligatures w14:val="none"/>
        </w:rPr>
        <w:t>, fragmentando</w:t>
      </w:r>
      <w:r w:rsidRPr="009F2252">
        <w:rPr>
          <w:rFonts w:ascii="Times New Roman" w:eastAsia="Times New Roman" w:hAnsi="Times New Roman" w:cs="Times New Roman"/>
          <w:kern w:val="0"/>
          <w:lang w:eastAsia="es-VE"/>
          <w14:ligatures w14:val="none"/>
        </w:rPr>
        <w:t xml:space="preserve"> contenidos en bloques de 15 minutos. Según Sweller (2011), esto reduce la carga cognitiva y permite que la memoria de trabajo procese la información con mayor claridad, especialmente si se acompaña de ejercicios de recuperación activa.</w:t>
      </w:r>
    </w:p>
    <w:p w14:paraId="190C6AB2" w14:textId="77777777" w:rsidR="009F2252" w:rsidRPr="00AD4543" w:rsidRDefault="009F2252" w:rsidP="009F2252">
      <w:pPr>
        <w:spacing w:line="276" w:lineRule="auto"/>
        <w:ind w:firstLine="708"/>
        <w:jc w:val="both"/>
        <w:rPr>
          <w:rFonts w:ascii="Times New Roman" w:hAnsi="Times New Roman" w:cs="Times New Roman"/>
        </w:rPr>
      </w:pPr>
      <w:r w:rsidRPr="009F2252">
        <w:rPr>
          <w:rFonts w:ascii="Times New Roman" w:eastAsia="Times New Roman" w:hAnsi="Times New Roman" w:cs="Times New Roman"/>
          <w:kern w:val="0"/>
          <w:lang w:eastAsia="es-VE"/>
          <w14:ligatures w14:val="none"/>
        </w:rPr>
        <w:t xml:space="preserve">En cuanto a la </w:t>
      </w:r>
      <w:r w:rsidRPr="00AD4543">
        <w:rPr>
          <w:rFonts w:ascii="Times New Roman" w:eastAsia="Times New Roman" w:hAnsi="Times New Roman" w:cs="Times New Roman"/>
          <w:kern w:val="0"/>
          <w:lang w:eastAsia="es-VE"/>
          <w14:ligatures w14:val="none"/>
        </w:rPr>
        <w:t>motivación, la gamificación es clave para activar los circuitos de dopamina. Al plantear desafíos alcanzables y retroalimentación inmediata, se potencia la plasticidad sináptica (Howard-Jones, 2014). Esto permite que el estudiante vea el error como un dato útil y no como una amenaza, manteniendo el cerebro en un estado de búsqueda activa y compromiso.</w:t>
      </w:r>
    </w:p>
    <w:p w14:paraId="0BED6B8A" w14:textId="63254F1E" w:rsidR="009F2252" w:rsidRPr="0089033E" w:rsidRDefault="009F2252" w:rsidP="0089033E">
      <w:pPr>
        <w:spacing w:line="276" w:lineRule="auto"/>
        <w:ind w:firstLine="708"/>
        <w:jc w:val="both"/>
        <w:rPr>
          <w:rFonts w:ascii="Times New Roman" w:eastAsia="Times New Roman" w:hAnsi="Times New Roman" w:cs="Times New Roman"/>
          <w:kern w:val="0"/>
          <w:lang w:eastAsia="es-VE"/>
          <w14:ligatures w14:val="none"/>
        </w:rPr>
      </w:pPr>
      <w:r w:rsidRPr="00AD4543">
        <w:rPr>
          <w:rFonts w:ascii="Times New Roman" w:eastAsia="Times New Roman" w:hAnsi="Times New Roman" w:cs="Times New Roman"/>
          <w:kern w:val="0"/>
          <w:lang w:eastAsia="es-VE"/>
          <w14:ligatures w14:val="none"/>
        </w:rPr>
        <w:t>Para garantizar el aprendizaje profundo, es vital el "</w:t>
      </w:r>
      <w:proofErr w:type="spellStart"/>
      <w:r w:rsidRPr="00AD4543">
        <w:rPr>
          <w:rFonts w:ascii="Times New Roman" w:eastAsia="Times New Roman" w:hAnsi="Times New Roman" w:cs="Times New Roman"/>
          <w:kern w:val="0"/>
          <w:lang w:eastAsia="es-VE"/>
          <w14:ligatures w14:val="none"/>
        </w:rPr>
        <w:t>check</w:t>
      </w:r>
      <w:proofErr w:type="spellEnd"/>
      <w:r w:rsidRPr="00AD4543">
        <w:rPr>
          <w:rFonts w:ascii="Times New Roman" w:eastAsia="Times New Roman" w:hAnsi="Times New Roman" w:cs="Times New Roman"/>
          <w:kern w:val="0"/>
          <w:lang w:eastAsia="es-VE"/>
          <w14:ligatures w14:val="none"/>
        </w:rPr>
        <w:t xml:space="preserve">-in" emocional. Al </w:t>
      </w:r>
      <w:r w:rsidRPr="00AD4543">
        <w:rPr>
          <w:rFonts w:ascii="Times New Roman" w:eastAsia="Times New Roman" w:hAnsi="Times New Roman" w:cs="Times New Roman"/>
          <w:kern w:val="0"/>
          <w:lang w:eastAsia="es-VE"/>
          <w14:ligatures w14:val="none"/>
        </w:rPr>
        <w:t>validar el estado de ánimo del alumno,</w:t>
      </w:r>
      <w:r w:rsidRPr="009F2252">
        <w:rPr>
          <w:rFonts w:ascii="Times New Roman" w:eastAsia="Times New Roman" w:hAnsi="Times New Roman" w:cs="Times New Roman"/>
          <w:kern w:val="0"/>
          <w:lang w:eastAsia="es-VE"/>
          <w14:ligatures w14:val="none"/>
        </w:rPr>
        <w:t xml:space="preserve"> se reduce el cortisol (hormona del estrés) y se evita el bloqueo de la amígdala (Goleman, 2021). Un clima de seguridad psicológica prepara el hipocampo para almacenar nuevos datos, permitiendo que la emoción funcione como el "pegamento" de la memoria (Immordino-Yang, 2016).</w:t>
      </w:r>
    </w:p>
    <w:p w14:paraId="46897AC1" w14:textId="2B58FB13" w:rsidR="009F2252" w:rsidRPr="009F2252" w:rsidRDefault="009F2252" w:rsidP="009F2252">
      <w:pPr>
        <w:spacing w:line="276" w:lineRule="auto"/>
        <w:ind w:firstLine="708"/>
        <w:jc w:val="both"/>
        <w:rPr>
          <w:rFonts w:ascii="Times New Roman" w:hAnsi="Times New Roman" w:cs="Times New Roman"/>
        </w:rPr>
      </w:pPr>
      <w:r w:rsidRPr="0007064F">
        <w:rPr>
          <w:rFonts w:ascii="Times New Roman" w:eastAsia="Times New Roman" w:hAnsi="Times New Roman" w:cs="Times New Roman"/>
          <w:kern w:val="0"/>
          <w:lang w:eastAsia="es-VE"/>
          <w14:ligatures w14:val="none"/>
        </w:rPr>
        <w:t>Finalmente, la inclusión cognitiva se logra mediante el Diseño Universal para</w:t>
      </w:r>
      <w:r w:rsidRPr="009F2252">
        <w:rPr>
          <w:rFonts w:ascii="Times New Roman" w:eastAsia="Times New Roman" w:hAnsi="Times New Roman" w:cs="Times New Roman"/>
          <w:kern w:val="0"/>
          <w:lang w:eastAsia="es-VE"/>
          <w14:ligatures w14:val="none"/>
        </w:rPr>
        <w:t xml:space="preserve"> el Aprendizaje. Al ofrecer contenidos en múltiples formatos (visual, auditivo y textual), se fortalecen las redes de reconocimiento cerebral (Rose y Meyer, 2002). La multimodalidad, bajo este enfoque, no es solo tecnología, sino una vía para que cada cerebro encuentre su camino más eficiente hacia el conocimiento.</w:t>
      </w:r>
    </w:p>
    <w:p w14:paraId="121ABB49" w14:textId="29874C5E" w:rsidR="009F2252" w:rsidRDefault="009F2252" w:rsidP="009F2252">
      <w:pPr>
        <w:spacing w:line="276" w:lineRule="auto"/>
        <w:ind w:firstLine="708"/>
        <w:jc w:val="both"/>
        <w:rPr>
          <w:rFonts w:ascii="Times New Roman" w:eastAsia="Times New Roman" w:hAnsi="Times New Roman" w:cs="Times New Roman"/>
          <w:kern w:val="0"/>
          <w:lang w:eastAsia="es-VE"/>
          <w14:ligatures w14:val="none"/>
        </w:rPr>
      </w:pPr>
      <w:r w:rsidRPr="009F2252">
        <w:rPr>
          <w:rFonts w:ascii="Times New Roman" w:eastAsia="Times New Roman" w:hAnsi="Times New Roman" w:cs="Times New Roman"/>
          <w:kern w:val="0"/>
          <w:lang w:eastAsia="es-VE"/>
          <w14:ligatures w14:val="none"/>
        </w:rPr>
        <w:t>La educación superior enfrenta el reto de humanizar la tecnología. No basta con digitalizar contenidos; es imperativo diseñar experiencias que resuenen con la biología del aprendizaje. Si la multimodalidad se une a la neuro-afectividad, el proceso educativo deja de ser una simple transmisión de datos para convertirse en una transformación integral del individuo. Como afirma Mora (2017), el cerebro solo aprende lo que ama; por tanto, el futuro de la universidad depende de su capacidad para emocionar mientras enseña.</w:t>
      </w:r>
    </w:p>
    <w:p w14:paraId="4CE3B6F3" w14:textId="77777777" w:rsidR="008739EE" w:rsidRPr="008739EE" w:rsidRDefault="008739EE" w:rsidP="008739EE">
      <w:pPr>
        <w:spacing w:line="240" w:lineRule="auto"/>
        <w:ind w:firstLine="708"/>
        <w:jc w:val="both"/>
        <w:rPr>
          <w:b/>
          <w:bCs/>
          <w:sz w:val="12"/>
          <w:szCs w:val="12"/>
        </w:rPr>
      </w:pPr>
      <w:r w:rsidRPr="008739EE">
        <w:rPr>
          <w:b/>
          <w:bCs/>
          <w:sz w:val="12"/>
          <w:szCs w:val="12"/>
        </w:rPr>
        <w:t>Referencias</w:t>
      </w:r>
    </w:p>
    <w:p w14:paraId="44D05442" w14:textId="77777777" w:rsidR="00302BD1" w:rsidRDefault="008739EE" w:rsidP="00302BD1">
      <w:pPr>
        <w:pStyle w:val="Prrafodelista"/>
        <w:numPr>
          <w:ilvl w:val="0"/>
          <w:numId w:val="2"/>
        </w:numPr>
        <w:spacing w:line="240" w:lineRule="auto"/>
        <w:jc w:val="both"/>
        <w:rPr>
          <w:rFonts w:ascii="Times New Roman" w:hAnsi="Times New Roman" w:cs="Times New Roman"/>
          <w:sz w:val="12"/>
          <w:szCs w:val="12"/>
        </w:rPr>
      </w:pPr>
      <w:r w:rsidRPr="00302BD1">
        <w:rPr>
          <w:rFonts w:ascii="Times New Roman" w:hAnsi="Times New Roman" w:cs="Times New Roman"/>
          <w:sz w:val="12"/>
          <w:szCs w:val="12"/>
        </w:rPr>
        <w:t>Bisquerra, R., &amp; Mateo, J. (2019). </w:t>
      </w:r>
      <w:r w:rsidRPr="00302BD1">
        <w:rPr>
          <w:rFonts w:ascii="Times New Roman" w:hAnsi="Times New Roman" w:cs="Times New Roman"/>
          <w:i/>
          <w:iCs/>
          <w:sz w:val="12"/>
          <w:szCs w:val="12"/>
        </w:rPr>
        <w:t>Competencias emocionales para el bienestar</w:t>
      </w:r>
      <w:r w:rsidRPr="00302BD1">
        <w:rPr>
          <w:rFonts w:ascii="Times New Roman" w:hAnsi="Times New Roman" w:cs="Times New Roman"/>
          <w:sz w:val="12"/>
          <w:szCs w:val="12"/>
        </w:rPr>
        <w:t>.</w:t>
      </w:r>
    </w:p>
    <w:p w14:paraId="1D9F9E5F" w14:textId="77777777" w:rsidR="00302BD1" w:rsidRDefault="008739EE" w:rsidP="00302BD1">
      <w:pPr>
        <w:pStyle w:val="Prrafodelista"/>
        <w:numPr>
          <w:ilvl w:val="0"/>
          <w:numId w:val="2"/>
        </w:numPr>
        <w:spacing w:line="240" w:lineRule="auto"/>
        <w:jc w:val="both"/>
        <w:rPr>
          <w:rFonts w:ascii="Times New Roman" w:hAnsi="Times New Roman" w:cs="Times New Roman"/>
          <w:sz w:val="12"/>
          <w:szCs w:val="12"/>
        </w:rPr>
      </w:pPr>
      <w:r w:rsidRPr="00302BD1">
        <w:rPr>
          <w:rFonts w:ascii="Times New Roman" w:hAnsi="Times New Roman" w:cs="Times New Roman"/>
          <w:sz w:val="12"/>
          <w:szCs w:val="12"/>
        </w:rPr>
        <w:t xml:space="preserve">Bruer, J. T. (2016). Neuroeducación: un puente demasiado lejano. En A. M. En, K. W. </w:t>
      </w:r>
      <w:proofErr w:type="spellStart"/>
      <w:r w:rsidRPr="00302BD1">
        <w:rPr>
          <w:rFonts w:ascii="Times New Roman" w:hAnsi="Times New Roman" w:cs="Times New Roman"/>
          <w:sz w:val="12"/>
          <w:szCs w:val="12"/>
        </w:rPr>
        <w:t>Battro</w:t>
      </w:r>
      <w:proofErr w:type="spellEnd"/>
      <w:r w:rsidRPr="00302BD1">
        <w:rPr>
          <w:rFonts w:ascii="Times New Roman" w:hAnsi="Times New Roman" w:cs="Times New Roman"/>
          <w:sz w:val="12"/>
          <w:szCs w:val="12"/>
        </w:rPr>
        <w:t>, &amp; P. J. Fischer (Eds.), </w:t>
      </w:r>
      <w:r w:rsidRPr="00302BD1">
        <w:rPr>
          <w:rFonts w:ascii="Times New Roman" w:hAnsi="Times New Roman" w:cs="Times New Roman"/>
          <w:i/>
          <w:iCs/>
          <w:sz w:val="12"/>
          <w:szCs w:val="12"/>
        </w:rPr>
        <w:t>La educación educada: perspectivas desde la neuroeducación</w:t>
      </w:r>
      <w:r w:rsidRPr="00302BD1">
        <w:rPr>
          <w:rFonts w:ascii="Times New Roman" w:hAnsi="Times New Roman" w:cs="Times New Roman"/>
          <w:sz w:val="12"/>
          <w:szCs w:val="12"/>
        </w:rPr>
        <w:t> (pp. 125–154).</w:t>
      </w:r>
    </w:p>
    <w:p w14:paraId="7E3699E0" w14:textId="77777777" w:rsidR="00302BD1" w:rsidRDefault="008739EE" w:rsidP="00302BD1">
      <w:pPr>
        <w:pStyle w:val="Prrafodelista"/>
        <w:numPr>
          <w:ilvl w:val="0"/>
          <w:numId w:val="2"/>
        </w:numPr>
        <w:spacing w:line="240" w:lineRule="auto"/>
        <w:jc w:val="both"/>
        <w:rPr>
          <w:rFonts w:ascii="Times New Roman" w:hAnsi="Times New Roman" w:cs="Times New Roman"/>
          <w:sz w:val="12"/>
          <w:szCs w:val="12"/>
        </w:rPr>
      </w:pPr>
      <w:proofErr w:type="spellStart"/>
      <w:r w:rsidRPr="00302BD1">
        <w:rPr>
          <w:rFonts w:ascii="Times New Roman" w:hAnsi="Times New Roman" w:cs="Times New Roman"/>
          <w:sz w:val="12"/>
          <w:szCs w:val="12"/>
          <w:lang w:val="en-CA"/>
        </w:rPr>
        <w:t>Cozolino</w:t>
      </w:r>
      <w:proofErr w:type="spellEnd"/>
      <w:r w:rsidRPr="00302BD1">
        <w:rPr>
          <w:rFonts w:ascii="Times New Roman" w:hAnsi="Times New Roman" w:cs="Times New Roman"/>
          <w:sz w:val="12"/>
          <w:szCs w:val="12"/>
          <w:lang w:val="en-CA"/>
        </w:rPr>
        <w:t>, L. (2013). </w:t>
      </w:r>
      <w:r w:rsidRPr="00302BD1">
        <w:rPr>
          <w:rFonts w:ascii="Times New Roman" w:hAnsi="Times New Roman" w:cs="Times New Roman"/>
          <w:i/>
          <w:iCs/>
          <w:sz w:val="12"/>
          <w:szCs w:val="12"/>
          <w:lang w:val="en-CA"/>
        </w:rPr>
        <w:t>The social neuroscience of education: Optimizing attachment and learning in the classroom</w:t>
      </w:r>
      <w:r w:rsidRPr="00302BD1">
        <w:rPr>
          <w:rFonts w:ascii="Times New Roman" w:hAnsi="Times New Roman" w:cs="Times New Roman"/>
          <w:sz w:val="12"/>
          <w:szCs w:val="12"/>
          <w:lang w:val="en-CA"/>
        </w:rPr>
        <w:t xml:space="preserve">. </w:t>
      </w:r>
      <w:r w:rsidRPr="00302BD1">
        <w:rPr>
          <w:rFonts w:ascii="Times New Roman" w:hAnsi="Times New Roman" w:cs="Times New Roman"/>
          <w:sz w:val="12"/>
          <w:szCs w:val="12"/>
        </w:rPr>
        <w:t>W. W. Norton &amp; Company.</w:t>
      </w:r>
    </w:p>
    <w:p w14:paraId="15C7EC7A" w14:textId="77777777" w:rsidR="00302BD1" w:rsidRPr="00302BD1" w:rsidRDefault="008739EE" w:rsidP="00302BD1">
      <w:pPr>
        <w:pStyle w:val="Prrafodelista"/>
        <w:numPr>
          <w:ilvl w:val="0"/>
          <w:numId w:val="2"/>
        </w:numPr>
        <w:spacing w:line="240" w:lineRule="auto"/>
        <w:jc w:val="both"/>
        <w:rPr>
          <w:rFonts w:ascii="Times New Roman" w:hAnsi="Times New Roman" w:cs="Times New Roman"/>
          <w:sz w:val="12"/>
          <w:szCs w:val="12"/>
        </w:rPr>
      </w:pPr>
      <w:r w:rsidRPr="00302BD1">
        <w:rPr>
          <w:rFonts w:ascii="Times New Roman" w:hAnsi="Times New Roman" w:cs="Times New Roman"/>
          <w:sz w:val="12"/>
          <w:szCs w:val="12"/>
        </w:rPr>
        <w:t>Goleman, D. (2021). </w:t>
      </w:r>
      <w:r w:rsidRPr="00302BD1">
        <w:rPr>
          <w:rFonts w:ascii="Times New Roman" w:hAnsi="Times New Roman" w:cs="Times New Roman"/>
          <w:i/>
          <w:iCs/>
          <w:sz w:val="12"/>
          <w:szCs w:val="12"/>
        </w:rPr>
        <w:t>La inteligencia emocional en la educación</w:t>
      </w:r>
      <w:r w:rsidRPr="00302BD1">
        <w:rPr>
          <w:rFonts w:ascii="Times New Roman" w:hAnsi="Times New Roman" w:cs="Times New Roman"/>
          <w:sz w:val="12"/>
          <w:szCs w:val="12"/>
        </w:rPr>
        <w:t xml:space="preserve">. </w:t>
      </w:r>
      <w:r w:rsidRPr="00302BD1">
        <w:rPr>
          <w:rFonts w:ascii="Times New Roman" w:hAnsi="Times New Roman" w:cs="Times New Roman"/>
          <w:sz w:val="12"/>
          <w:szCs w:val="12"/>
          <w:lang w:val="en-CA"/>
        </w:rPr>
        <w:t xml:space="preserve">Editorial </w:t>
      </w:r>
      <w:proofErr w:type="spellStart"/>
      <w:r w:rsidRPr="00302BD1">
        <w:rPr>
          <w:rFonts w:ascii="Times New Roman" w:hAnsi="Times New Roman" w:cs="Times New Roman"/>
          <w:sz w:val="12"/>
          <w:szCs w:val="12"/>
          <w:lang w:val="en-CA"/>
        </w:rPr>
        <w:t>Kairós.</w:t>
      </w:r>
      <w:proofErr w:type="spellEnd"/>
    </w:p>
    <w:p w14:paraId="30D0C436" w14:textId="77777777" w:rsidR="00302BD1" w:rsidRPr="00302BD1" w:rsidRDefault="008739EE" w:rsidP="00302BD1">
      <w:pPr>
        <w:pStyle w:val="Prrafodelista"/>
        <w:numPr>
          <w:ilvl w:val="0"/>
          <w:numId w:val="2"/>
        </w:numPr>
        <w:spacing w:line="240" w:lineRule="auto"/>
        <w:jc w:val="both"/>
        <w:rPr>
          <w:rFonts w:ascii="Times New Roman" w:hAnsi="Times New Roman" w:cs="Times New Roman"/>
          <w:sz w:val="12"/>
          <w:szCs w:val="12"/>
        </w:rPr>
      </w:pPr>
      <w:r w:rsidRPr="00302BD1">
        <w:rPr>
          <w:rFonts w:ascii="Times New Roman" w:hAnsi="Times New Roman" w:cs="Times New Roman"/>
          <w:sz w:val="12"/>
          <w:szCs w:val="12"/>
          <w:lang w:val="en-CA"/>
        </w:rPr>
        <w:t>Howard-Jones, P. A. (2014). Neuroscience and education: A review of educational interventions and approaches. </w:t>
      </w:r>
      <w:r w:rsidRPr="00302BD1">
        <w:rPr>
          <w:rFonts w:ascii="Times New Roman" w:hAnsi="Times New Roman" w:cs="Times New Roman"/>
          <w:i/>
          <w:iCs/>
          <w:sz w:val="12"/>
          <w:szCs w:val="12"/>
          <w:lang w:val="en-CA"/>
        </w:rPr>
        <w:t>Nature Reviews Neuroscience</w:t>
      </w:r>
      <w:r w:rsidRPr="00302BD1">
        <w:rPr>
          <w:rFonts w:ascii="Times New Roman" w:hAnsi="Times New Roman" w:cs="Times New Roman"/>
          <w:sz w:val="12"/>
          <w:szCs w:val="12"/>
          <w:lang w:val="en-CA"/>
        </w:rPr>
        <w:t>, </w:t>
      </w:r>
      <w:r w:rsidRPr="00302BD1">
        <w:rPr>
          <w:rFonts w:ascii="Times New Roman" w:hAnsi="Times New Roman" w:cs="Times New Roman"/>
          <w:i/>
          <w:iCs/>
          <w:sz w:val="12"/>
          <w:szCs w:val="12"/>
          <w:lang w:val="en-CA"/>
        </w:rPr>
        <w:t>15</w:t>
      </w:r>
      <w:r w:rsidRPr="00302BD1">
        <w:rPr>
          <w:rFonts w:ascii="Times New Roman" w:hAnsi="Times New Roman" w:cs="Times New Roman"/>
          <w:sz w:val="12"/>
          <w:szCs w:val="12"/>
          <w:lang w:val="en-CA"/>
        </w:rPr>
        <w:t>(12), 817–824.</w:t>
      </w:r>
    </w:p>
    <w:p w14:paraId="45A8678A" w14:textId="77777777" w:rsidR="00693608" w:rsidRDefault="008739EE" w:rsidP="00302BD1">
      <w:pPr>
        <w:pStyle w:val="Prrafodelista"/>
        <w:numPr>
          <w:ilvl w:val="0"/>
          <w:numId w:val="2"/>
        </w:numPr>
        <w:spacing w:line="240" w:lineRule="auto"/>
        <w:jc w:val="both"/>
        <w:rPr>
          <w:rFonts w:ascii="Times New Roman" w:hAnsi="Times New Roman" w:cs="Times New Roman"/>
          <w:sz w:val="12"/>
          <w:szCs w:val="12"/>
        </w:rPr>
      </w:pPr>
      <w:r w:rsidRPr="00302BD1">
        <w:rPr>
          <w:rFonts w:ascii="Times New Roman" w:hAnsi="Times New Roman" w:cs="Times New Roman"/>
          <w:sz w:val="12"/>
          <w:szCs w:val="12"/>
          <w:lang w:val="en-CA"/>
        </w:rPr>
        <w:t>Immordino-Yang, M. H. (2016). </w:t>
      </w:r>
      <w:r w:rsidRPr="00302BD1">
        <w:rPr>
          <w:rFonts w:ascii="Times New Roman" w:hAnsi="Times New Roman" w:cs="Times New Roman"/>
          <w:i/>
          <w:iCs/>
          <w:sz w:val="12"/>
          <w:szCs w:val="12"/>
          <w:lang w:val="en-CA"/>
        </w:rPr>
        <w:t>Emotions, learning, and the brain: Exploring the educational implications of affective neuroscience</w:t>
      </w:r>
      <w:r w:rsidRPr="00302BD1">
        <w:rPr>
          <w:rFonts w:ascii="Times New Roman" w:hAnsi="Times New Roman" w:cs="Times New Roman"/>
          <w:sz w:val="12"/>
          <w:szCs w:val="12"/>
          <w:lang w:val="en-CA"/>
        </w:rPr>
        <w:t xml:space="preserve">. </w:t>
      </w:r>
      <w:r w:rsidRPr="00302BD1">
        <w:rPr>
          <w:rFonts w:ascii="Times New Roman" w:hAnsi="Times New Roman" w:cs="Times New Roman"/>
          <w:sz w:val="12"/>
          <w:szCs w:val="12"/>
        </w:rPr>
        <w:t>W. W. Norton &amp; Company.</w:t>
      </w:r>
    </w:p>
    <w:p w14:paraId="65A4ED40" w14:textId="77777777" w:rsidR="00693608" w:rsidRDefault="008739EE" w:rsidP="00302BD1">
      <w:pPr>
        <w:pStyle w:val="Prrafodelista"/>
        <w:numPr>
          <w:ilvl w:val="0"/>
          <w:numId w:val="2"/>
        </w:numPr>
        <w:spacing w:line="240" w:lineRule="auto"/>
        <w:jc w:val="both"/>
        <w:rPr>
          <w:rFonts w:ascii="Times New Roman" w:hAnsi="Times New Roman" w:cs="Times New Roman"/>
          <w:sz w:val="12"/>
          <w:szCs w:val="12"/>
        </w:rPr>
      </w:pPr>
      <w:r w:rsidRPr="00693608">
        <w:rPr>
          <w:rFonts w:ascii="Times New Roman" w:hAnsi="Times New Roman" w:cs="Times New Roman"/>
          <w:sz w:val="12"/>
          <w:szCs w:val="12"/>
        </w:rPr>
        <w:t>Mora, F. (2017). </w:t>
      </w:r>
      <w:r w:rsidRPr="00693608">
        <w:rPr>
          <w:rFonts w:ascii="Times New Roman" w:hAnsi="Times New Roman" w:cs="Times New Roman"/>
          <w:i/>
          <w:iCs/>
          <w:sz w:val="12"/>
          <w:szCs w:val="12"/>
        </w:rPr>
        <w:t>Neuroeducación: Solo se puede aprender aquello que se ama (2.</w:t>
      </w:r>
      <w:r w:rsidRPr="00693608">
        <w:rPr>
          <w:rFonts w:ascii="Times New Roman" w:hAnsi="Times New Roman" w:cs="Times New Roman"/>
          <w:i/>
          <w:iCs/>
          <w:sz w:val="12"/>
          <w:szCs w:val="12"/>
          <w:vertAlign w:val="superscript"/>
        </w:rPr>
        <w:t>a</w:t>
      </w:r>
      <w:r w:rsidRPr="00693608">
        <w:rPr>
          <w:rFonts w:ascii="Times New Roman" w:hAnsi="Times New Roman" w:cs="Times New Roman"/>
          <w:i/>
          <w:iCs/>
          <w:sz w:val="12"/>
          <w:szCs w:val="12"/>
        </w:rPr>
        <w:t> ed.)</w:t>
      </w:r>
      <w:r w:rsidRPr="00693608">
        <w:rPr>
          <w:rFonts w:ascii="Times New Roman" w:hAnsi="Times New Roman" w:cs="Times New Roman"/>
          <w:sz w:val="12"/>
          <w:szCs w:val="12"/>
        </w:rPr>
        <w:t>.</w:t>
      </w:r>
    </w:p>
    <w:p w14:paraId="3A361A63" w14:textId="77777777" w:rsidR="00693608" w:rsidRPr="00693608" w:rsidRDefault="008739EE" w:rsidP="00693608">
      <w:pPr>
        <w:pStyle w:val="Prrafodelista"/>
        <w:numPr>
          <w:ilvl w:val="0"/>
          <w:numId w:val="2"/>
        </w:numPr>
        <w:spacing w:line="240" w:lineRule="auto"/>
        <w:jc w:val="both"/>
        <w:rPr>
          <w:rFonts w:ascii="Times New Roman" w:hAnsi="Times New Roman" w:cs="Times New Roman"/>
          <w:sz w:val="12"/>
          <w:szCs w:val="12"/>
        </w:rPr>
      </w:pPr>
      <w:r w:rsidRPr="00693608">
        <w:rPr>
          <w:rFonts w:ascii="Times New Roman" w:hAnsi="Times New Roman" w:cs="Times New Roman"/>
          <w:sz w:val="12"/>
          <w:szCs w:val="12"/>
          <w:lang w:val="en-CA"/>
        </w:rPr>
        <w:t>Rose, D. H., &amp; Meyer, A. (2002). </w:t>
      </w:r>
      <w:r w:rsidRPr="00693608">
        <w:rPr>
          <w:rFonts w:ascii="Times New Roman" w:hAnsi="Times New Roman" w:cs="Times New Roman"/>
          <w:i/>
          <w:iCs/>
          <w:sz w:val="12"/>
          <w:szCs w:val="12"/>
          <w:lang w:val="en-CA"/>
        </w:rPr>
        <w:t>Teaching every student in the digital age: Universal design for learning. Association for Supervision and Curriculum Development</w:t>
      </w:r>
      <w:r w:rsidRPr="00693608">
        <w:rPr>
          <w:rFonts w:ascii="Times New Roman" w:hAnsi="Times New Roman" w:cs="Times New Roman"/>
          <w:sz w:val="12"/>
          <w:szCs w:val="12"/>
          <w:lang w:val="en-CA"/>
        </w:rPr>
        <w:t>. ASCD.</w:t>
      </w:r>
    </w:p>
    <w:p w14:paraId="5354DD94" w14:textId="220D6D0C" w:rsidR="000A5C27" w:rsidRPr="006758B5" w:rsidRDefault="008739EE" w:rsidP="006758B5">
      <w:pPr>
        <w:pStyle w:val="Prrafodelista"/>
        <w:numPr>
          <w:ilvl w:val="0"/>
          <w:numId w:val="2"/>
        </w:numPr>
        <w:spacing w:line="240" w:lineRule="auto"/>
        <w:jc w:val="both"/>
        <w:rPr>
          <w:rFonts w:ascii="Times New Roman" w:hAnsi="Times New Roman" w:cs="Times New Roman"/>
          <w:sz w:val="12"/>
          <w:szCs w:val="12"/>
        </w:rPr>
      </w:pPr>
      <w:proofErr w:type="spellStart"/>
      <w:r w:rsidRPr="00693608">
        <w:rPr>
          <w:rFonts w:ascii="Times New Roman" w:hAnsi="Times New Roman" w:cs="Times New Roman"/>
          <w:sz w:val="12"/>
          <w:szCs w:val="12"/>
          <w:lang w:val="en-CA"/>
        </w:rPr>
        <w:t>Sweller</w:t>
      </w:r>
      <w:proofErr w:type="spellEnd"/>
      <w:r w:rsidRPr="00693608">
        <w:rPr>
          <w:rFonts w:ascii="Times New Roman" w:hAnsi="Times New Roman" w:cs="Times New Roman"/>
          <w:sz w:val="12"/>
          <w:szCs w:val="12"/>
          <w:lang w:val="en-CA"/>
        </w:rPr>
        <w:t>, J. (2011). The psychology of learning and motivation. </w:t>
      </w:r>
      <w:proofErr w:type="spellStart"/>
      <w:r w:rsidRPr="00693608">
        <w:rPr>
          <w:rFonts w:ascii="Times New Roman" w:hAnsi="Times New Roman" w:cs="Times New Roman"/>
          <w:i/>
          <w:iCs/>
          <w:sz w:val="12"/>
          <w:szCs w:val="12"/>
        </w:rPr>
        <w:t>Cognition</w:t>
      </w:r>
      <w:proofErr w:type="spellEnd"/>
      <w:r w:rsidR="00876A78">
        <w:rPr>
          <w:rFonts w:ascii="Times New Roman" w:hAnsi="Times New Roman" w:cs="Times New Roman"/>
          <w:i/>
          <w:iCs/>
          <w:sz w:val="12"/>
          <w:szCs w:val="12"/>
        </w:rPr>
        <w:t>.</w:t>
      </w:r>
    </w:p>
    <w:sectPr w:rsidR="008C6837" w:rsidRPr="006758B5" w:rsidSect="009F2252">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7573"/>
    <w:multiLevelType w:val="hybridMultilevel"/>
    <w:tmpl w:val="FFD64B0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7C75D43"/>
    <w:multiLevelType w:val="multilevel"/>
    <w:tmpl w:val="267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763559">
    <w:abstractNumId w:val="1"/>
  </w:num>
  <w:num w:numId="2" w16cid:durableId="57261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52"/>
    <w:rsid w:val="0001354B"/>
    <w:rsid w:val="00047255"/>
    <w:rsid w:val="00057F0E"/>
    <w:rsid w:val="00061EAB"/>
    <w:rsid w:val="000668EC"/>
    <w:rsid w:val="0007064F"/>
    <w:rsid w:val="00077195"/>
    <w:rsid w:val="0007774A"/>
    <w:rsid w:val="000B29BC"/>
    <w:rsid w:val="000C5E6D"/>
    <w:rsid w:val="000D0640"/>
    <w:rsid w:val="000E17D0"/>
    <w:rsid w:val="000E25D8"/>
    <w:rsid w:val="000E635F"/>
    <w:rsid w:val="000F3CCE"/>
    <w:rsid w:val="000F66A4"/>
    <w:rsid w:val="00121186"/>
    <w:rsid w:val="001627F9"/>
    <w:rsid w:val="00171D1B"/>
    <w:rsid w:val="00187738"/>
    <w:rsid w:val="00193F32"/>
    <w:rsid w:val="00195C6C"/>
    <w:rsid w:val="001A4827"/>
    <w:rsid w:val="001B30DA"/>
    <w:rsid w:val="001B361E"/>
    <w:rsid w:val="001C2889"/>
    <w:rsid w:val="001C669E"/>
    <w:rsid w:val="001C7C90"/>
    <w:rsid w:val="001D4205"/>
    <w:rsid w:val="0022239F"/>
    <w:rsid w:val="002246E8"/>
    <w:rsid w:val="00237CFE"/>
    <w:rsid w:val="00286C8C"/>
    <w:rsid w:val="002F4DF7"/>
    <w:rsid w:val="00300896"/>
    <w:rsid w:val="00301685"/>
    <w:rsid w:val="00302BD1"/>
    <w:rsid w:val="003152E2"/>
    <w:rsid w:val="00316529"/>
    <w:rsid w:val="00321126"/>
    <w:rsid w:val="0036478C"/>
    <w:rsid w:val="003954CD"/>
    <w:rsid w:val="003D06BA"/>
    <w:rsid w:val="003E1044"/>
    <w:rsid w:val="003E1353"/>
    <w:rsid w:val="0040410C"/>
    <w:rsid w:val="0041041A"/>
    <w:rsid w:val="00414943"/>
    <w:rsid w:val="004209FB"/>
    <w:rsid w:val="00426015"/>
    <w:rsid w:val="004353E0"/>
    <w:rsid w:val="00444C23"/>
    <w:rsid w:val="004560A7"/>
    <w:rsid w:val="00472433"/>
    <w:rsid w:val="004A413A"/>
    <w:rsid w:val="004E2DD9"/>
    <w:rsid w:val="004F0A9B"/>
    <w:rsid w:val="00501549"/>
    <w:rsid w:val="00507AE8"/>
    <w:rsid w:val="00524D36"/>
    <w:rsid w:val="00534FA1"/>
    <w:rsid w:val="00542A03"/>
    <w:rsid w:val="00580D2F"/>
    <w:rsid w:val="005C3111"/>
    <w:rsid w:val="005D5682"/>
    <w:rsid w:val="005F4499"/>
    <w:rsid w:val="00621FE2"/>
    <w:rsid w:val="0062458A"/>
    <w:rsid w:val="0064143E"/>
    <w:rsid w:val="006758B5"/>
    <w:rsid w:val="006800DE"/>
    <w:rsid w:val="00682B2E"/>
    <w:rsid w:val="00693608"/>
    <w:rsid w:val="00705751"/>
    <w:rsid w:val="00710556"/>
    <w:rsid w:val="00720F07"/>
    <w:rsid w:val="00734CEC"/>
    <w:rsid w:val="007369DB"/>
    <w:rsid w:val="007416C6"/>
    <w:rsid w:val="00751684"/>
    <w:rsid w:val="00753135"/>
    <w:rsid w:val="00775936"/>
    <w:rsid w:val="00787BCC"/>
    <w:rsid w:val="007A2DAD"/>
    <w:rsid w:val="007D7A14"/>
    <w:rsid w:val="007F2235"/>
    <w:rsid w:val="007F6E2F"/>
    <w:rsid w:val="00823C8A"/>
    <w:rsid w:val="0082618A"/>
    <w:rsid w:val="00840C73"/>
    <w:rsid w:val="0084591C"/>
    <w:rsid w:val="008553F7"/>
    <w:rsid w:val="008739EE"/>
    <w:rsid w:val="00876A78"/>
    <w:rsid w:val="0089033E"/>
    <w:rsid w:val="008A3118"/>
    <w:rsid w:val="008C3AD2"/>
    <w:rsid w:val="008C43D7"/>
    <w:rsid w:val="008F3C13"/>
    <w:rsid w:val="00936CBE"/>
    <w:rsid w:val="009467C3"/>
    <w:rsid w:val="00956162"/>
    <w:rsid w:val="009566C7"/>
    <w:rsid w:val="0096047F"/>
    <w:rsid w:val="00964444"/>
    <w:rsid w:val="00971FF8"/>
    <w:rsid w:val="0098657F"/>
    <w:rsid w:val="009A1D71"/>
    <w:rsid w:val="009A30C8"/>
    <w:rsid w:val="009C5D00"/>
    <w:rsid w:val="009E2508"/>
    <w:rsid w:val="009F19A6"/>
    <w:rsid w:val="009F2252"/>
    <w:rsid w:val="00A02DCF"/>
    <w:rsid w:val="00A06441"/>
    <w:rsid w:val="00A066B7"/>
    <w:rsid w:val="00A653B5"/>
    <w:rsid w:val="00A7175C"/>
    <w:rsid w:val="00A849C6"/>
    <w:rsid w:val="00AA43F0"/>
    <w:rsid w:val="00AC565F"/>
    <w:rsid w:val="00AD4543"/>
    <w:rsid w:val="00AE006C"/>
    <w:rsid w:val="00B06B9B"/>
    <w:rsid w:val="00B204FD"/>
    <w:rsid w:val="00B35359"/>
    <w:rsid w:val="00B42221"/>
    <w:rsid w:val="00B500B3"/>
    <w:rsid w:val="00B91A4E"/>
    <w:rsid w:val="00BA5E26"/>
    <w:rsid w:val="00BB518E"/>
    <w:rsid w:val="00BC6AF2"/>
    <w:rsid w:val="00BD20F0"/>
    <w:rsid w:val="00BD6BB0"/>
    <w:rsid w:val="00C05CC1"/>
    <w:rsid w:val="00C13C37"/>
    <w:rsid w:val="00C164AE"/>
    <w:rsid w:val="00C45AE0"/>
    <w:rsid w:val="00C51678"/>
    <w:rsid w:val="00C92535"/>
    <w:rsid w:val="00CA4739"/>
    <w:rsid w:val="00CB7277"/>
    <w:rsid w:val="00CE2EEB"/>
    <w:rsid w:val="00CE7490"/>
    <w:rsid w:val="00D06C07"/>
    <w:rsid w:val="00E06EFB"/>
    <w:rsid w:val="00E07A85"/>
    <w:rsid w:val="00E46BF4"/>
    <w:rsid w:val="00E72EEA"/>
    <w:rsid w:val="00EA0112"/>
    <w:rsid w:val="00EC1B34"/>
    <w:rsid w:val="00ED15CE"/>
    <w:rsid w:val="00ED2579"/>
    <w:rsid w:val="00F03C6D"/>
    <w:rsid w:val="00F31868"/>
    <w:rsid w:val="00F43BE5"/>
    <w:rsid w:val="00F55FC8"/>
    <w:rsid w:val="00F74B41"/>
    <w:rsid w:val="00F76211"/>
    <w:rsid w:val="00F8235F"/>
    <w:rsid w:val="00F83029"/>
    <w:rsid w:val="00FA3627"/>
    <w:rsid w:val="00FA78B5"/>
    <w:rsid w:val="00FB2B3B"/>
    <w:rsid w:val="00FC6D95"/>
    <w:rsid w:val="00FD5EA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C5AC"/>
  <w15:chartTrackingRefBased/>
  <w15:docId w15:val="{329E445E-EE03-469D-964E-E515895F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252"/>
  </w:style>
  <w:style w:type="paragraph" w:styleId="Ttulo1">
    <w:name w:val="heading 1"/>
    <w:basedOn w:val="Normal"/>
    <w:next w:val="Normal"/>
    <w:link w:val="Ttulo1Car"/>
    <w:uiPriority w:val="9"/>
    <w:qFormat/>
    <w:rsid w:val="009F2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2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225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225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225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22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22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22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22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225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225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225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225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225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22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22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22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2252"/>
    <w:rPr>
      <w:rFonts w:eastAsiaTheme="majorEastAsia" w:cstheme="majorBidi"/>
      <w:color w:val="272727" w:themeColor="text1" w:themeTint="D8"/>
    </w:rPr>
  </w:style>
  <w:style w:type="paragraph" w:styleId="Ttulo">
    <w:name w:val="Title"/>
    <w:basedOn w:val="Normal"/>
    <w:next w:val="Normal"/>
    <w:link w:val="TtuloCar"/>
    <w:uiPriority w:val="10"/>
    <w:qFormat/>
    <w:rsid w:val="009F2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22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22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22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2252"/>
    <w:pPr>
      <w:spacing w:before="160"/>
      <w:jc w:val="center"/>
    </w:pPr>
    <w:rPr>
      <w:i/>
      <w:iCs/>
      <w:color w:val="404040" w:themeColor="text1" w:themeTint="BF"/>
    </w:rPr>
  </w:style>
  <w:style w:type="character" w:customStyle="1" w:styleId="CitaCar">
    <w:name w:val="Cita Car"/>
    <w:basedOn w:val="Fuentedeprrafopredeter"/>
    <w:link w:val="Cita"/>
    <w:uiPriority w:val="29"/>
    <w:rsid w:val="009F2252"/>
    <w:rPr>
      <w:i/>
      <w:iCs/>
      <w:color w:val="404040" w:themeColor="text1" w:themeTint="BF"/>
    </w:rPr>
  </w:style>
  <w:style w:type="paragraph" w:styleId="Prrafodelista">
    <w:name w:val="List Paragraph"/>
    <w:basedOn w:val="Normal"/>
    <w:uiPriority w:val="34"/>
    <w:qFormat/>
    <w:rsid w:val="009F2252"/>
    <w:pPr>
      <w:ind w:left="720"/>
      <w:contextualSpacing/>
    </w:pPr>
  </w:style>
  <w:style w:type="character" w:styleId="nfasisintenso">
    <w:name w:val="Intense Emphasis"/>
    <w:basedOn w:val="Fuentedeprrafopredeter"/>
    <w:uiPriority w:val="21"/>
    <w:qFormat/>
    <w:rsid w:val="009F2252"/>
    <w:rPr>
      <w:i/>
      <w:iCs/>
      <w:color w:val="2F5496" w:themeColor="accent1" w:themeShade="BF"/>
    </w:rPr>
  </w:style>
  <w:style w:type="paragraph" w:styleId="Citadestacada">
    <w:name w:val="Intense Quote"/>
    <w:basedOn w:val="Normal"/>
    <w:next w:val="Normal"/>
    <w:link w:val="CitadestacadaCar"/>
    <w:uiPriority w:val="30"/>
    <w:qFormat/>
    <w:rsid w:val="009F2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2252"/>
    <w:rPr>
      <w:i/>
      <w:iCs/>
      <w:color w:val="2F5496" w:themeColor="accent1" w:themeShade="BF"/>
    </w:rPr>
  </w:style>
  <w:style w:type="character" w:styleId="Referenciaintensa">
    <w:name w:val="Intense Reference"/>
    <w:basedOn w:val="Fuentedeprrafopredeter"/>
    <w:uiPriority w:val="32"/>
    <w:qFormat/>
    <w:rsid w:val="009F2252"/>
    <w:rPr>
      <w:b/>
      <w:bCs/>
      <w:smallCaps/>
      <w:color w:val="2F5496" w:themeColor="accent1" w:themeShade="BF"/>
      <w:spacing w:val="5"/>
    </w:rPr>
  </w:style>
  <w:style w:type="paragraph" w:styleId="Encabezado">
    <w:name w:val="header"/>
    <w:basedOn w:val="Normal"/>
    <w:link w:val="EncabezadoCar"/>
    <w:uiPriority w:val="99"/>
    <w:unhideWhenUsed/>
    <w:rsid w:val="009F22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2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1093</Words>
  <Characters>6014</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campione</dc:creator>
  <cp:keywords/>
  <dc:description/>
  <cp:lastModifiedBy>adriana campione</cp:lastModifiedBy>
  <cp:revision>2</cp:revision>
  <dcterms:created xsi:type="dcterms:W3CDTF">2026-01-26T02:40:00Z</dcterms:created>
  <dcterms:modified xsi:type="dcterms:W3CDTF">2026-01-26T02:40:00Z</dcterms:modified>
</cp:coreProperties>
</file>