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Pr>
        <mc:AlternateContent>
          <mc:Choice Requires="wpg">
            <w:drawing>
              <wp:anchor allowOverlap="1" behindDoc="0" distB="45720" distT="45720" distL="114300" distR="114300" hidden="0" layoutInCell="1" locked="0" relativeHeight="0" simplePos="0">
                <wp:simplePos x="0" y="0"/>
                <wp:positionH relativeFrom="margin">
                  <wp:align>right</wp:align>
                </wp:positionH>
                <wp:positionV relativeFrom="page">
                  <wp:posOffset>33338</wp:posOffset>
                </wp:positionV>
                <wp:extent cx="5400675" cy="720725"/>
                <wp:effectExtent b="0" l="0" r="0" t="0"/>
                <wp:wrapSquare wrapText="bothSides" distB="45720" distT="45720" distL="114300" distR="114300"/>
                <wp:docPr id="218" name=""/>
                <a:graphic>
                  <a:graphicData uri="http://schemas.microsoft.com/office/word/2010/wordprocessingShape">
                    <wps:wsp>
                      <wps:cNvSpPr/>
                      <wps:cNvPr id="2" name="Shape 2"/>
                      <wps:spPr>
                        <a:xfrm>
                          <a:off x="2650425" y="3424400"/>
                          <a:ext cx="5391150" cy="71120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rial" w:cs="Arial" w:eastAsia="Arial" w:hAnsi="Arial"/>
                                <w:b w:val="1"/>
                                <w:i w:val="1"/>
                                <w:smallCaps w:val="0"/>
                                <w:strike w:val="0"/>
                                <w:color w:val="000000"/>
                                <w:sz w:val="32"/>
                                <w:vertAlign w:val="baseline"/>
                              </w:rPr>
                              <w:t xml:space="preserve">¿Aprender para el examen o para la vida? Multimodalidad y la neuroplasticidad del significado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right</wp:align>
                </wp:positionH>
                <wp:positionV relativeFrom="page">
                  <wp:posOffset>33338</wp:posOffset>
                </wp:positionV>
                <wp:extent cx="5400675" cy="720725"/>
                <wp:effectExtent b="0" l="0" r="0" t="0"/>
                <wp:wrapSquare wrapText="bothSides" distB="45720" distT="45720" distL="114300" distR="114300"/>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00675" cy="720725"/>
                        </a:xfrm>
                        <a:prstGeom prst="rect"/>
                        <a:ln/>
                      </pic:spPr>
                    </pic:pic>
                  </a:graphicData>
                </a:graphic>
              </wp:anchor>
            </w:drawing>
          </mc:Fallback>
        </mc:AlternateContent>
      </w:r>
      <w:r w:rsidDel="00000000" w:rsidR="00000000" w:rsidRPr="00000000">
        <w:rPr>
          <w:rFonts w:ascii="Arial" w:cs="Arial" w:eastAsia="Arial" w:hAnsi="Arial"/>
          <w:b w:val="1"/>
          <w:bCs w:val="1"/>
          <w:sz w:val="22"/>
          <w:szCs w:val="22"/>
          <w:rtl w:val="0"/>
        </w:rPr>
        <w:t xml:space="preserve">Integración neuronal para aprender</w:t>
      </w:r>
    </w:p>
    <w:p w:rsidR="00000000" w:rsidDel="00000000" w:rsidP="00000000" w:rsidRDefault="00000000" w:rsidRPr="00000000" w14:paraId="00000002">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Son distintas las cadenas neuronales que se activan para iniciar un proceso de aprendizaje. Según Dehaene (2020, p. 68), el cerebro es un experto en la integración de datos de información multisensorial, que combina de manera óptima para reducir la incertidumbre. Así, la capacidad de filtrado en la perpetua estimulación es altamente eficiente para el logro del aprendizaje como único objetivo, tomando en cuenta que la orientación de las habilidades del individuo no importa.</w:t>
      </w:r>
    </w:p>
    <w:p w:rsidR="00000000" w:rsidDel="00000000" w:rsidP="00000000" w:rsidRDefault="00000000" w:rsidRPr="00000000" w14:paraId="00000003">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 fascinante de la consolidación de la información es que inicia de un procesamiento consciente y lento, a uno inconsciente y rápido (Dehaene, 2020). Todo forma parte de un orden sistemático de repetición que conlleva al sistema neurosensorial al recableado que evoluciona hacia la significación de lo que se aprende.</w:t>
      </w:r>
    </w:p>
    <w:p w:rsidR="00000000" w:rsidDel="00000000" w:rsidP="00000000" w:rsidRDefault="00000000" w:rsidRPr="00000000" w14:paraId="00000004">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Neuroplasticidad multimodal</w:t>
      </w:r>
    </w:p>
    <w:p w:rsidR="00000000" w:rsidDel="00000000" w:rsidP="00000000" w:rsidRDefault="00000000" w:rsidRPr="00000000" w14:paraId="00000005">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neuroplasticidad representa un estado intrínseco del sistema nervioso, lo que permite que los procesos de aprendizaje multimodal reconfiguren constantemente la estructura cerebral” (Pascual-Leone &amp; Bartres-Faz, 2023). Para esto, resulta fundamental la intención pedagógica del docente hacia la comprensión del papel que juega la multimodalidad en el aula de clases. Si se conoce que la neuroplasticidad permite describir como órgano transformable al cerebro a través de la estimulación diversa, se logrará abarcar un abanico amplio en la transmisión de información con mayor eficiencia. Como punto de inflexión, en torno a la plasticidad del cerebro, una de sus fortalezas es su capacidad de ser receptivo y cambiante durante toda la vida; por lo tanto, docentes y estudiantes sufren cambios cognitivos que ocurren al mismo tiempo con diferentes espectros. Por lo tanto, la praxis educativa se cubre de un techo sin límites, capaz de transformar los dos elementos que conforman la construcción del conocimiento.</w:t>
      </w:r>
    </w:p>
    <w:p w:rsidR="00000000" w:rsidDel="00000000" w:rsidP="00000000" w:rsidRDefault="00000000" w:rsidRPr="00000000" w14:paraId="00000006">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insta a comprender que el camino del aprendizaje está más allá de la presencia de herramientas tecnológicas. Sin un proceso con profundidad de aprendizaje que internalice la metodología con la que se aprende, la memorización y afianzamiento de información resulta estéril. Doyle y Zakrajsek (2018) postularon que el procesamiento superficial, como la repetición de palabras sin entender, causa un olvido rápido, a diferencia del procesamiento profundo, que proyecta al estudiante a experiencias pasadas, acompañadas de exploración para fortalecer la neuroplasticidad y la memoria a largo plazo, acercándose a la significación real de lo que aprende.</w:t>
      </w:r>
    </w:p>
    <w:p w:rsidR="00000000" w:rsidDel="00000000" w:rsidP="00000000" w:rsidRDefault="00000000" w:rsidRPr="00000000" w14:paraId="00000007">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Multimodalidad: una herramienta universal</w:t>
      </w:r>
    </w:p>
    <w:p w:rsidR="00000000" w:rsidDel="00000000" w:rsidP="00000000" w:rsidRDefault="00000000" w:rsidRPr="00000000" w14:paraId="00000008">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se conoce que cada individuo tiene alguna preferencia de aprendizaje, ya sea visual, auditivo o kinestésico, salta una cuestión al ámbito educativo: ¿la manera de enseñar debe ser personalizada? Basta con buscar resultados óptimos y la respuesta que se obtiene es sí, pero ¿cómo es esto viable en un aula de clases que la acompañan uno o dos docentes para enseñar a 20 estudiantes, 30 o más? Pues la multimodalidad evoluciona y se hace cada vez más explícita no sólo para los aprendices, sino para los que enseñan, como ya se ha mencionado anteriormente. La transducción es un concepto que nos han dejado Cope y Kalantzis (2023), enfocándose en la importancia del significado de la información que se obtiene para, de esta manera, hacer uso de todos los canales receptivos por los que se comunica el estudiante.</w:t>
      </w:r>
    </w:p>
    <w:p w:rsidR="00000000" w:rsidDel="00000000" w:rsidP="00000000" w:rsidRDefault="00000000" w:rsidRPr="00000000" w14:paraId="00000009">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basta con atribuir a la multimodalidad su fondo por la tecnología; no es suficiente con mejorar imágenes, producir videos o proyectar explicativos de realidad virtual para que se considere que lo que se quiere conocer se ha anclado. El sentido yace en el estudiante para involucrarse con la tecnología, no como observador, sino como protagonista que debe tener la capacidad de reinterpretar a través de herramientas tecnológicas lo que ha leído, escuchado o visto (imágenes); es decir, el aprendiz puede reordenar de manera exploratoria y demostrar a través de su significación que lo absorbido es capaz de replicarlo y explicarlo al colectivo.</w:t>
      </w:r>
    </w:p>
    <w:p w:rsidR="00000000" w:rsidDel="00000000" w:rsidP="00000000" w:rsidRDefault="00000000" w:rsidRPr="00000000" w14:paraId="0000000A">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Asuma como una realidad, que lo verdaderamente importante en esta ecuación es usted como lector, que complementado con imágenes, puede apropiarse de la información hasta armar una producción audiovisual que le permita ahondar y afianzar más el tema. Sería ideal que esta autoría se complementara con una audiolectura, la cual fácilmente conseguirá en alguna aplicación de su dispositivo móvil, y posterior a esta publicación, resulta idóneo abrir un espacio de retroalimentación de preguntas y respuestas. Bajo estos parámetros, se entiende el nacimiento de una verdadera multimodalidad.</w:t>
      </w:r>
    </w:p>
    <w:p w:rsidR="00000000" w:rsidDel="00000000" w:rsidP="00000000" w:rsidRDefault="00000000" w:rsidRPr="00000000" w14:paraId="0000000B">
      <w:pPr>
        <w:spacing w:line="360" w:lineRule="auto"/>
        <w:jc w:val="right"/>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Por: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Od. Israel Hernández, M.Sc.</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Referencias Bibliograficas</w:t>
      </w:r>
    </w:p>
    <w:p w:rsidR="00000000" w:rsidDel="00000000" w:rsidP="00000000" w:rsidRDefault="00000000" w:rsidRPr="00000000" w14:paraId="0000000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-Cope, B., &amp; Kalantzis, M. (2023). </w:t>
      </w:r>
      <w:r w:rsidDel="00000000" w:rsidR="00000000" w:rsidRPr="00000000">
        <w:rPr>
          <w:rFonts w:ascii="Arial" w:cs="Arial" w:eastAsia="Arial" w:hAnsi="Arial"/>
          <w:i w:val="1"/>
          <w:iCs w:val="1"/>
          <w:sz w:val="20"/>
          <w:szCs w:val="20"/>
          <w:rtl w:val="0"/>
        </w:rPr>
        <w:t xml:space="preserve">Making sense: Reference, meaning, and communication</w:t>
      </w:r>
      <w:r w:rsidDel="00000000" w:rsidR="00000000" w:rsidRPr="00000000">
        <w:rPr>
          <w:rFonts w:ascii="Arial" w:cs="Arial" w:eastAsia="Arial" w:hAnsi="Arial"/>
          <w:sz w:val="20"/>
          <w:szCs w:val="20"/>
          <w:rtl w:val="0"/>
        </w:rPr>
        <w:t xml:space="preserve">. Cambridge University Press.</w:t>
      </w:r>
    </w:p>
    <w:p w:rsidR="00000000" w:rsidDel="00000000" w:rsidP="00000000" w:rsidRDefault="00000000" w:rsidRPr="00000000" w14:paraId="0000000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-Dehaene, S. (2020). </w:t>
      </w:r>
      <w:r w:rsidDel="00000000" w:rsidR="00000000" w:rsidRPr="00000000">
        <w:rPr>
          <w:rFonts w:ascii="Arial" w:cs="Arial" w:eastAsia="Arial" w:hAnsi="Arial"/>
          <w:i w:val="1"/>
          <w:iCs w:val="1"/>
          <w:sz w:val="20"/>
          <w:szCs w:val="20"/>
          <w:rtl w:val="0"/>
        </w:rPr>
        <w:t xml:space="preserve">¿Cómo aprendemos?: Los cuatro pilares con los que la educación puede potenciar el talento de nuestro cerebro</w:t>
      </w:r>
      <w:r w:rsidDel="00000000" w:rsidR="00000000" w:rsidRPr="00000000">
        <w:rPr>
          <w:rFonts w:ascii="Arial" w:cs="Arial" w:eastAsia="Arial" w:hAnsi="Arial"/>
          <w:sz w:val="20"/>
          <w:szCs w:val="20"/>
          <w:rtl w:val="0"/>
        </w:rPr>
        <w:t xml:space="preserve">. Siglo XXI Editores.</w:t>
      </w:r>
    </w:p>
    <w:p w:rsidR="00000000" w:rsidDel="00000000" w:rsidP="00000000" w:rsidRDefault="00000000" w:rsidRPr="00000000" w14:paraId="0000000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-Doyle, T., &amp; Zakrajsek, T. (2018). </w:t>
      </w:r>
      <w:r w:rsidDel="00000000" w:rsidR="00000000" w:rsidRPr="00000000">
        <w:rPr>
          <w:rFonts w:ascii="Arial" w:cs="Arial" w:eastAsia="Arial" w:hAnsi="Arial"/>
          <w:i w:val="1"/>
          <w:iCs w:val="1"/>
          <w:sz w:val="20"/>
          <w:szCs w:val="20"/>
          <w:rtl w:val="0"/>
        </w:rPr>
        <w:t xml:space="preserve">The new science of learning: How to learn in harmony with your brain</w:t>
      </w:r>
      <w:r w:rsidDel="00000000" w:rsidR="00000000" w:rsidRPr="00000000">
        <w:rPr>
          <w:rFonts w:ascii="Arial" w:cs="Arial" w:eastAsia="Arial" w:hAnsi="Arial"/>
          <w:sz w:val="20"/>
          <w:szCs w:val="20"/>
          <w:rtl w:val="0"/>
        </w:rPr>
        <w:t xml:space="preserve">. Stylus Publishing.</w:t>
      </w:r>
    </w:p>
    <w:p w:rsidR="00000000" w:rsidDel="00000000" w:rsidP="00000000" w:rsidRDefault="00000000" w:rsidRPr="00000000" w14:paraId="0000001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-Pascual-Leone, A., &amp; Bartrés-Faz, D. (2023). </w:t>
      </w:r>
      <w:r w:rsidDel="00000000" w:rsidR="00000000" w:rsidRPr="00000000">
        <w:rPr>
          <w:rFonts w:ascii="Arial" w:cs="Arial" w:eastAsia="Arial" w:hAnsi="Arial"/>
          <w:i w:val="1"/>
          <w:iCs w:val="1"/>
          <w:sz w:val="20"/>
          <w:szCs w:val="20"/>
          <w:rtl w:val="0"/>
        </w:rPr>
        <w:t xml:space="preserve">Neuroplasticidad y mecanismos de aprendizaje multimodal: Una perspectiva neurocientífica</w:t>
      </w:r>
      <w:r w:rsidDel="00000000" w:rsidR="00000000" w:rsidRPr="00000000">
        <w:rPr>
          <w:rFonts w:ascii="Arial" w:cs="Arial" w:eastAsia="Arial" w:hAnsi="Arial"/>
          <w:sz w:val="20"/>
          <w:szCs w:val="20"/>
          <w:rtl w:val="0"/>
        </w:rPr>
        <w:t xml:space="preserve">. Revista de Neurología y Educación, 14(2), 45-62.</w:t>
      </w:r>
    </w:p>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Reseña personal</w:t>
      </w:r>
    </w:p>
    <w:p w:rsidR="00000000" w:rsidDel="00000000" w:rsidP="00000000" w:rsidRDefault="00000000" w:rsidRPr="00000000" w14:paraId="0000001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Od Israel Hernández, M.Sc. Docente, especialista en Ortodoncia con visión transdisciplinaria. Doctorante en Ciencias de la Educación.</w:t>
      </w:r>
    </w:p>
    <w:p w:rsidR="00000000" w:rsidDel="00000000" w:rsidP="00000000" w:rsidRDefault="00000000" w:rsidRPr="00000000" w14:paraId="00000014">
      <w:pPr>
        <w:rPr/>
      </w:pPr>
      <w:r w:rsidDel="00000000" w:rsidR="00000000" w:rsidRPr="00000000">
        <w:rPr>
          <w:rtl w:val="0"/>
        </w:rPr>
      </w:r>
    </w:p>
    <w:sectPr>
      <w:pgSz w:h="16838" w:w="11906" w:orient="portrait"/>
      <w:pgMar w:bottom="1417" w:top="1417" w:left="1701" w:right="1701" w:header="708" w:footer="708"/>
      <w:pgNumType w:start="1"/>
      <w:cols w:equalWidth="0" w:num="2">
        <w:col w:space="708" w:w="3897.9999999999995"/>
        <w:col w:space="0" w:w="3897.9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2C5B8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C5B8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C5B8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C5B8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C5B8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C5B8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C5B8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C5B8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C5B8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C5B8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C5B8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C5B8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C5B8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C5B8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C5B8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C5B82"/>
    <w:rPr>
      <w:i w:val="1"/>
      <w:iCs w:val="1"/>
      <w:color w:val="404040" w:themeColor="text1" w:themeTint="0000BF"/>
    </w:rPr>
  </w:style>
  <w:style w:type="paragraph" w:styleId="Prrafodelista">
    <w:name w:val="List Paragraph"/>
    <w:basedOn w:val="Normal"/>
    <w:uiPriority w:val="34"/>
    <w:qFormat w:val="1"/>
    <w:rsid w:val="002C5B82"/>
    <w:pPr>
      <w:ind w:left="720"/>
      <w:contextualSpacing w:val="1"/>
    </w:pPr>
  </w:style>
  <w:style w:type="character" w:styleId="nfasisintenso">
    <w:name w:val="Intense Emphasis"/>
    <w:basedOn w:val="Fuentedeprrafopredeter"/>
    <w:uiPriority w:val="21"/>
    <w:qFormat w:val="1"/>
    <w:rsid w:val="002C5B82"/>
    <w:rPr>
      <w:i w:val="1"/>
      <w:iCs w:val="1"/>
      <w:color w:val="2f5496" w:themeColor="accent1" w:themeShade="0000BF"/>
    </w:rPr>
  </w:style>
  <w:style w:type="paragraph" w:styleId="Citadestacada">
    <w:name w:val="Intense Quote"/>
    <w:basedOn w:val="Normal"/>
    <w:next w:val="Normal"/>
    <w:link w:val="CitadestacadaCar"/>
    <w:uiPriority w:val="30"/>
    <w:qFormat w:val="1"/>
    <w:rsid w:val="002C5B8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C5B82"/>
    <w:rPr>
      <w:i w:val="1"/>
      <w:iCs w:val="1"/>
      <w:color w:val="2f5496" w:themeColor="accent1" w:themeShade="0000BF"/>
    </w:rPr>
  </w:style>
  <w:style w:type="character" w:styleId="Referenciaintensa">
    <w:name w:val="Intense Reference"/>
    <w:basedOn w:val="Fuentedeprrafopredeter"/>
    <w:uiPriority w:val="32"/>
    <w:qFormat w:val="1"/>
    <w:rsid w:val="002C5B8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Ij9Irr35gPLErLREuwmaAhHUA==">CgMxLjA4AHIhMWlQeFFDazFad3NET3pKQ09VNGpsQnplanE4LW1VUkZk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2026-01-25T15:48:00Z</dcterms:created>
  <dc:creator>Israel Hernandez</dc:creator>
</cp:coreProperties>
</file>