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D7863">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b/>
          <w:bCs/>
          <w:sz w:val="24"/>
          <w:szCs w:val="24"/>
        </w:rPr>
      </w:pPr>
      <w:bookmarkStart w:id="0" w:name="_GoBack"/>
      <w:bookmarkEnd w:id="0"/>
      <w:r>
        <w:rPr>
          <w:rFonts w:hint="default" w:ascii="Times New Roman" w:hAnsi="Times New Roman"/>
          <w:b/>
          <w:bCs/>
          <w:sz w:val="24"/>
          <w:szCs w:val="24"/>
        </w:rPr>
        <w:t>¿Tecnología que libera o controla? La dialéctica educativa en la era multimodal.</w:t>
      </w:r>
    </w:p>
    <w:p w14:paraId="732C21B5">
      <w:pPr>
        <w:keepNext w:val="0"/>
        <w:keepLines w:val="0"/>
        <w:pageBreakBefore w:val="0"/>
        <w:widowControl/>
        <w:kinsoku/>
        <w:wordWrap/>
        <w:overflowPunct/>
        <w:topLinePunct w:val="0"/>
        <w:autoSpaceDE/>
        <w:autoSpaceDN/>
        <w:bidi w:val="0"/>
        <w:adjustRightInd/>
        <w:snapToGrid/>
        <w:spacing w:line="360" w:lineRule="auto"/>
        <w:ind w:firstLine="720" w:firstLineChars="0"/>
        <w:jc w:val="both"/>
        <w:textAlignment w:val="auto"/>
        <w:rPr>
          <w:rFonts w:hint="default" w:ascii="Times New Roman" w:hAnsi="Times New Roman"/>
          <w:sz w:val="24"/>
          <w:szCs w:val="24"/>
        </w:rPr>
      </w:pPr>
      <w:r>
        <w:rPr>
          <w:rFonts w:hint="default" w:ascii="Times New Roman" w:hAnsi="Times New Roman"/>
          <w:sz w:val="24"/>
          <w:szCs w:val="24"/>
        </w:rPr>
        <w:t>Las aulas híbridas inteligentes, las narrativas inmersivas y las analíticas multimodales no deben entenderse como metas tecnológicas, sino como síntomas de un cambio epistémico profundo (Suárez, Gros &amp; Garrido, 2020). El desafío de la investigación doctoral contemporánea trasciende la descripción de herramientas para situarse en la búsqueda de los constructos que otorgan sentido a la transformación. Existe una tensión dialéctica esencial donde la tecnología tiene el potencial de amplificar la experiencia humana, pero también de alinearla; de integrar comunidades, pero también de profundizar brechas (Selwyn, 2016).</w:t>
      </w:r>
    </w:p>
    <w:p w14:paraId="5554E717">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La innovación no ocurre en un vacío, sino sobre una arquitectura mental preexistente. La teoría ACT-R (Adaptive Control of Thought--Rational) de John R. Anderson proporciona el marco para comprender cómo se incorpora la información multimodal (Anderson et al., 2004). Este modelo sostiene que el aprendizaje es la codificación y recuperación adaptativa de fragmentos de conocimiento a través de sistemas de memoria declarativa y procedimental (Anderson et al., 1995).</w:t>
      </w:r>
    </w:p>
    <w:p w14:paraId="17F90E9F">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Bajo esta óptica, las analíticas multimodales (clics, tiempos, interacciones) no son solo datos estadísticos, sino huellas perceptibles de procesos cognitivos, la recuperación de hechos o la automatización de habilidades (Wise &amp; Shaffer, 2015). El diseño instruccional debe, por tanto, ajustarse a esta arquitectura cerebral para prevenir la sobrecarga de la memoria operativa en entornos de alta inmersión (AR/VR).</w:t>
      </w:r>
    </w:p>
    <w:p w14:paraId="2A377C99">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La promesa de la transmodalidad es una navegación fluida entre representaciones y exige una nueva agencia semiótica. Basándose en la semiótica social de Gunther Kress, surge el constructo de competencia traductora (Kress, 2010). La transducción implica que el sentido nunca se traslada intacto de un modo a otro (por ejemplo, de una imagen a un texto); siempre es re diseñado y modificado. En los entornos inmersivos, el alumno deja de ser un receptor para convertirse en un creador de significado que debe entender los límites y posibilidades de cada medio para reorganizar su conocimiento.</w:t>
      </w:r>
    </w:p>
    <w:p w14:paraId="23C4B633">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El gran reto de equilibrar la innovación con el diseño sólido reside en la tensión entre lo político y lo pedagógico. La dialéctica freireana permite identificar si la tecnología se utiliza como una herramienta de educación bancaria (control, supervisión y almacenamiento paternalista de datos) o como un medio para la praxis liberadora (Freire, 2018). Las analíticas en tiempo real pueden ser instrumentos de control o herramientas de metacognición dialógica que devuelven al alumno la conciencia sobre su propio proceso educativo.</w:t>
      </w:r>
    </w:p>
    <w:p w14:paraId="3180AA16">
      <w:pPr>
        <w:keepNext w:val="0"/>
        <w:keepLines w:val="0"/>
        <w:pageBreakBefore w:val="0"/>
        <w:widowControl/>
        <w:kinsoku/>
        <w:wordWrap/>
        <w:overflowPunct/>
        <w:topLinePunct w:val="0"/>
        <w:autoSpaceDE/>
        <w:autoSpaceDN/>
        <w:bidi w:val="0"/>
        <w:adjustRightInd/>
        <w:snapToGrid/>
        <w:spacing w:line="360" w:lineRule="auto"/>
        <w:ind w:left="0" w:firstLine="0"/>
        <w:jc w:val="both"/>
        <w:textAlignment w:val="auto"/>
        <w:rPr>
          <w:rFonts w:hint="default" w:ascii="Times New Roman" w:hAnsi="Times New Roman"/>
          <w:b/>
          <w:bCs/>
          <w:sz w:val="24"/>
          <w:szCs w:val="24"/>
        </w:rPr>
      </w:pPr>
      <w:r>
        <w:rPr>
          <w:rFonts w:hint="default" w:ascii="Times New Roman" w:hAnsi="Times New Roman"/>
          <w:b/>
          <w:bCs/>
          <w:sz w:val="24"/>
          <w:szCs w:val="24"/>
        </w:rPr>
        <w:t>CONCLUSIÓN.</w:t>
      </w:r>
    </w:p>
    <w:p w14:paraId="5C7E04CF">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El futuro de la educación no reside en la acumulación de dispositivos, sino en una transformación ecológica del pensamiento investigativo. Una metodología doctoral robusta debe ser capaz de orquestar estos marcos:</w:t>
      </w:r>
    </w:p>
    <w:p w14:paraId="51638FF5">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sz w:val="24"/>
          <w:szCs w:val="24"/>
        </w:rPr>
      </w:pPr>
      <w:r>
        <w:rPr>
          <w:rFonts w:hint="default" w:ascii="Times New Roman" w:hAnsi="Times New Roman"/>
          <w:sz w:val="24"/>
          <w:szCs w:val="24"/>
        </w:rPr>
        <w:t>Modelar la interacción cognitiva (Anderson).</w:t>
      </w:r>
    </w:p>
    <w:p w14:paraId="264ADFCD">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sz w:val="24"/>
          <w:szCs w:val="24"/>
        </w:rPr>
      </w:pPr>
      <w:r>
        <w:rPr>
          <w:rFonts w:hint="default" w:ascii="Times New Roman" w:hAnsi="Times New Roman"/>
          <w:sz w:val="24"/>
          <w:szCs w:val="24"/>
        </w:rPr>
        <w:t>Examinar los rediseños semióticos (Kress).</w:t>
      </w:r>
    </w:p>
    <w:p w14:paraId="3642C307">
      <w:pPr>
        <w:keepNext w:val="0"/>
        <w:keepLines w:val="0"/>
        <w:pageBreakBefore w:val="0"/>
        <w:widowControl/>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sz w:val="24"/>
          <w:szCs w:val="24"/>
        </w:rPr>
      </w:pPr>
      <w:r>
        <w:rPr>
          <w:rFonts w:hint="default" w:ascii="Times New Roman" w:hAnsi="Times New Roman"/>
          <w:sz w:val="24"/>
          <w:szCs w:val="24"/>
        </w:rPr>
        <w:t>Determinar si el proceso incrementa la capacidad de problematizar el mundo (Freire).</w:t>
      </w:r>
    </w:p>
    <w:p w14:paraId="1FBFF51B">
      <w:pPr>
        <w:keepNext w:val="0"/>
        <w:keepLines w:val="0"/>
        <w:pageBreakBefore w:val="0"/>
        <w:widowControl/>
        <w:kinsoku/>
        <w:wordWrap/>
        <w:overflowPunct/>
        <w:topLinePunct w:val="0"/>
        <w:autoSpaceDE/>
        <w:autoSpaceDN/>
        <w:bidi w:val="0"/>
        <w:adjustRightInd/>
        <w:snapToGrid/>
        <w:spacing w:line="360" w:lineRule="auto"/>
        <w:ind w:left="0" w:firstLine="720" w:firstLineChars="0"/>
        <w:jc w:val="both"/>
        <w:textAlignment w:val="auto"/>
        <w:rPr>
          <w:rFonts w:hint="default" w:ascii="Times New Roman" w:hAnsi="Times New Roman"/>
          <w:sz w:val="24"/>
          <w:szCs w:val="24"/>
        </w:rPr>
      </w:pPr>
      <w:r>
        <w:rPr>
          <w:rFonts w:hint="default" w:ascii="Times New Roman" w:hAnsi="Times New Roman"/>
          <w:sz w:val="24"/>
          <w:szCs w:val="24"/>
        </w:rPr>
        <w:t>La multimodalidad de vanguardia es, en última instancia, la arena dialéctica donde decidimos si la tecnología nos convertirá en consumidores eficaces o en arquitectos autónomos de nuestro propio saber.</w:t>
      </w:r>
    </w:p>
    <w:p w14:paraId="50D6E232">
      <w:pPr>
        <w:spacing w:line="360" w:lineRule="auto"/>
        <w:jc w:val="both"/>
        <w:rPr>
          <w:rFonts w:hint="default" w:ascii="Times New Roman" w:hAnsi="Times New Roman"/>
          <w:b/>
          <w:bCs/>
          <w:sz w:val="24"/>
          <w:szCs w:val="24"/>
          <w:lang/>
        </w:rPr>
      </w:pPr>
      <w:r>
        <w:rPr>
          <w:rFonts w:hint="default" w:ascii="Times New Roman" w:hAnsi="Times New Roman"/>
          <w:b/>
          <w:bCs/>
          <w:sz w:val="24"/>
          <w:szCs w:val="24"/>
        </w:rPr>
        <w:t>REFERENCIAS BIBLIOGRÁFICAS</w:t>
      </w:r>
      <w:r>
        <w:rPr>
          <w:rFonts w:hint="default" w:ascii="Times New Roman" w:hAnsi="Times New Roman"/>
          <w:b/>
          <w:bCs/>
          <w:sz w:val="24"/>
          <w:szCs w:val="24"/>
          <w:lang/>
        </w:rPr>
        <w:t>.</w:t>
      </w:r>
    </w:p>
    <w:p w14:paraId="6ECB2BB6">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Anderson, J. R., et al. (2004). An integrated theory of the mind. Psychological Review, 111(4), 1036–1060.</w:t>
      </w:r>
    </w:p>
    <w:p w14:paraId="2E800C51">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Anderson, J. R., et al. (1995). Cognitive tutors: Lessons learned. The Journal of the Learning Sciences, 4(2), 167–207.</w:t>
      </w:r>
    </w:p>
    <w:p w14:paraId="72D32161">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Freire, P. (2018). Pedagogía del oprimido. Siglo XXI Editores.</w:t>
      </w:r>
    </w:p>
    <w:p w14:paraId="1EAE20F6">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Kress, G. (2010). Multimodality: A social semiotic approach to contemporary communication. Routledge.</w:t>
      </w:r>
    </w:p>
    <w:p w14:paraId="093C17DC">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Selwyn, N. (2016). Is technology good for education? Polity Press.</w:t>
      </w:r>
    </w:p>
    <w:p w14:paraId="7595540A">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sz w:val="24"/>
          <w:szCs w:val="24"/>
        </w:rPr>
      </w:pPr>
      <w:r>
        <w:rPr>
          <w:rFonts w:hint="default" w:ascii="Times New Roman" w:hAnsi="Times New Roman"/>
          <w:sz w:val="24"/>
          <w:szCs w:val="24"/>
        </w:rPr>
        <w:t>Suárez, M. R., Gros, B., &amp; Garrido, J. M. (2020). De la multimodalidad a la transmodalidad: cambios en el ecosistema de aprendizaje. Pixel-Bit, (57), 27–49.</w:t>
      </w:r>
    </w:p>
    <w:p w14:paraId="32D1C0D0">
      <w:pPr>
        <w:keepNext w:val="0"/>
        <w:keepLines w:val="0"/>
        <w:pageBreakBefore w:val="0"/>
        <w:widowControl/>
        <w:kinsoku/>
        <w:wordWrap/>
        <w:overflowPunct/>
        <w:topLinePunct w:val="0"/>
        <w:autoSpaceDE/>
        <w:autoSpaceDN/>
        <w:bidi w:val="0"/>
        <w:adjustRightInd/>
        <w:snapToGrid/>
        <w:spacing w:line="360" w:lineRule="auto"/>
        <w:ind w:left="480" w:hanging="480" w:hangingChars="200"/>
        <w:jc w:val="both"/>
        <w:textAlignment w:val="auto"/>
        <w:rPr>
          <w:rFonts w:hint="default" w:ascii="Times New Roman" w:hAnsi="Times New Roman" w:cs="Times New Roman"/>
          <w:sz w:val="24"/>
          <w:szCs w:val="24"/>
        </w:rPr>
      </w:pPr>
      <w:r>
        <w:rPr>
          <w:rFonts w:hint="default" w:ascii="Times New Roman" w:hAnsi="Times New Roman"/>
          <w:sz w:val="24"/>
          <w:szCs w:val="24"/>
        </w:rPr>
        <w:t>Wise, A. F., &amp; Shaffer, D. W. (2015). Why theory matters more than ever in the age of big data. Journal of Learning Analytics, 2(2), 5–13.</w:t>
      </w:r>
    </w:p>
    <w:sectPr>
      <w:pgSz w:w="12240" w:h="15840"/>
      <w:pgMar w:top="1440" w:right="1440" w:bottom="1440" w:left="144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EA87A9"/>
    <w:multiLevelType w:val="singleLevel"/>
    <w:tmpl w:val="32EA87A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953"/>
    <w:rsid w:val="003A7953"/>
    <w:rsid w:val="005D6AE3"/>
    <w:rsid w:val="00EA2305"/>
    <w:rsid w:val="17182EE4"/>
    <w:rsid w:val="401D2322"/>
    <w:rsid w:val="46D27147"/>
    <w:rsid w:val="72F44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Título 1 C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Título 2 C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Título 3 Car"/>
    <w:basedOn w:val="11"/>
    <w:link w:val="4"/>
    <w:semiHidden/>
    <w:qFormat/>
    <w:uiPriority w:val="9"/>
    <w:rPr>
      <w:rFonts w:eastAsiaTheme="majorEastAsia" w:cstheme="majorBidi"/>
      <w:color w:val="2F5597" w:themeColor="accent1" w:themeShade="BF"/>
      <w:sz w:val="28"/>
      <w:szCs w:val="28"/>
    </w:rPr>
  </w:style>
  <w:style w:type="character" w:customStyle="1" w:styleId="18">
    <w:name w:val="Título 4 Car"/>
    <w:basedOn w:val="11"/>
    <w:link w:val="5"/>
    <w:semiHidden/>
    <w:qFormat/>
    <w:uiPriority w:val="9"/>
    <w:rPr>
      <w:rFonts w:eastAsiaTheme="majorEastAsia" w:cstheme="majorBidi"/>
      <w:i/>
      <w:iCs/>
      <w:color w:val="2F5597" w:themeColor="accent1" w:themeShade="BF"/>
    </w:rPr>
  </w:style>
  <w:style w:type="character" w:customStyle="1" w:styleId="19">
    <w:name w:val="Título 5 Car"/>
    <w:basedOn w:val="11"/>
    <w:link w:val="6"/>
    <w:semiHidden/>
    <w:qFormat/>
    <w:uiPriority w:val="9"/>
    <w:rPr>
      <w:rFonts w:eastAsiaTheme="majorEastAsia" w:cstheme="majorBidi"/>
      <w:color w:val="2F5597" w:themeColor="accent1" w:themeShade="BF"/>
    </w:rPr>
  </w:style>
  <w:style w:type="character" w:customStyle="1" w:styleId="20">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ítulo C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 C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Cita destacada C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578</Words>
  <Characters>3297</Characters>
  <Lines>27</Lines>
  <Paragraphs>7</Paragraphs>
  <TotalTime>297</TotalTime>
  <ScaleCrop>false</ScaleCrop>
  <LinksUpToDate>false</LinksUpToDate>
  <CharactersWithSpaces>3868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2026-01-25T21:10:00Z</dcterms:created>
  <dc:creator>Leina Arcila</dc:creator>
  <cp:lastModifiedBy>Leina Arcila</cp:lastModifiedBy>
  <dcterms:modified xsi:type="dcterms:W3CDTF">2026-01-26T14:49:39Z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75847638139A4727BC116CD8EBEEA5CD_12</vt:lpwstr>
  </property>
</Properties>
</file>