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13FAB51D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9260FD">
              <w:rPr>
                <w:rFonts w:ascii="Arial Gras" w:hAnsi="Arial Gras" w:cs="Arial"/>
                <w:sz w:val="44"/>
              </w:rPr>
              <w:t xml:space="preserve"> SC 3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57698625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9260FD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5812FFBE" w:rsidR="00756404" w:rsidRDefault="00A3396A" w:rsidP="009260FD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2B7D0CC3" w:rsidR="00756404" w:rsidRPr="009B6D5C" w:rsidRDefault="00896651" w:rsidP="009260FD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717075AA" w:rsidR="00896651" w:rsidRPr="005A11E3" w:rsidRDefault="00896651" w:rsidP="005A11E3">
            <w:pPr>
              <w:pStyle w:val="Titre2"/>
              <w:tabs>
                <w:tab w:val="left" w:pos="1328"/>
                <w:tab w:val="left" w:pos="1800"/>
              </w:tabs>
              <w:spacing w:before="120"/>
              <w:ind w:left="194" w:right="114"/>
              <w:jc w:val="both"/>
              <w:rPr>
                <w:rFonts w:cs="Arial"/>
                <w:sz w:val="24"/>
              </w:rPr>
            </w:pPr>
            <w:r w:rsidRPr="005A11E3">
              <w:rPr>
                <w:rFonts w:cs="Arial"/>
                <w:sz w:val="24"/>
              </w:rPr>
              <w:t>Objet</w:t>
            </w:r>
            <w:r w:rsidRPr="005A11E3">
              <w:rPr>
                <w:rFonts w:cs="Arial"/>
                <w:sz w:val="24"/>
              </w:rPr>
              <w:tab/>
              <w:t>:</w:t>
            </w:r>
            <w:r w:rsidRPr="005A11E3">
              <w:rPr>
                <w:rFonts w:cs="Arial"/>
                <w:sz w:val="24"/>
              </w:rPr>
              <w:tab/>
            </w:r>
            <w:r w:rsidR="00F20507" w:rsidRPr="005A11E3">
              <w:rPr>
                <w:rFonts w:cs="Arial"/>
                <w:sz w:val="24"/>
              </w:rPr>
              <w:t xml:space="preserve">UTILISATION DU PTI </w:t>
            </w:r>
            <w:r w:rsidR="009260FD">
              <w:rPr>
                <w:rFonts w:cs="Arial"/>
                <w:sz w:val="24"/>
              </w:rPr>
              <w:t>SERIS</w:t>
            </w:r>
          </w:p>
          <w:p w14:paraId="0981921B" w14:textId="63B3CE0F" w:rsidR="00FE74B4" w:rsidRDefault="005A11E3" w:rsidP="005A11E3">
            <w:pPr>
              <w:tabs>
                <w:tab w:val="left" w:pos="1328"/>
                <w:tab w:val="left" w:pos="1800"/>
              </w:tabs>
              <w:spacing w:before="120"/>
              <w:ind w:left="194" w:right="114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 PTI est un moyen de protection pour tous travailleurs isolés. Il doit être porté en permanence en état de veille pour assurer la transmission de l’alerte en cas de problème.</w:t>
            </w:r>
          </w:p>
          <w:p w14:paraId="5BCF9933" w14:textId="77777777" w:rsidR="005A11E3" w:rsidRPr="005A11E3" w:rsidRDefault="005A11E3" w:rsidP="005A11E3">
            <w:pPr>
              <w:tabs>
                <w:tab w:val="left" w:pos="1328"/>
                <w:tab w:val="left" w:pos="1800"/>
              </w:tabs>
              <w:spacing w:before="120"/>
              <w:ind w:left="194" w:right="114"/>
              <w:jc w:val="both"/>
              <w:rPr>
                <w:rFonts w:ascii="Arial" w:hAnsi="Arial" w:cs="Arial"/>
              </w:rPr>
            </w:pPr>
          </w:p>
          <w:p w14:paraId="363397F4" w14:textId="2C86230E" w:rsidR="00C55687" w:rsidRPr="005A11E3" w:rsidRDefault="00C55687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  <w:b/>
                <w:smallCaps/>
              </w:rPr>
            </w:pPr>
            <w:r w:rsidRPr="005A11E3">
              <w:rPr>
                <w:rFonts w:ascii="Arial" w:hAnsi="Arial" w:cs="Arial"/>
                <w:b/>
                <w:smallCaps/>
              </w:rPr>
              <w:t xml:space="preserve">1- </w:t>
            </w:r>
            <w:r w:rsidR="005A11E3" w:rsidRPr="005A11E3">
              <w:rPr>
                <w:rFonts w:ascii="Arial" w:hAnsi="Arial" w:cs="Arial"/>
                <w:b/>
                <w:smallCaps/>
              </w:rPr>
              <w:t>Quand utiliser le PTI</w:t>
            </w:r>
          </w:p>
          <w:p w14:paraId="03C4487F" w14:textId="668843CF" w:rsidR="00C55687" w:rsidRPr="005A11E3" w:rsidRDefault="00C55687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</w:rPr>
            </w:pPr>
            <w:r w:rsidRPr="005A11E3">
              <w:rPr>
                <w:rFonts w:ascii="Arial" w:hAnsi="Arial" w:cs="Arial"/>
              </w:rPr>
              <w:t xml:space="preserve">L’agent </w:t>
            </w:r>
            <w:r w:rsidR="00AC4F8F" w:rsidRPr="005A11E3">
              <w:rPr>
                <w:rFonts w:ascii="Arial" w:hAnsi="Arial" w:cs="Arial"/>
              </w:rPr>
              <w:t>porte</w:t>
            </w:r>
            <w:r w:rsidRPr="005A11E3">
              <w:rPr>
                <w:rFonts w:ascii="Arial" w:hAnsi="Arial" w:cs="Arial"/>
              </w:rPr>
              <w:t xml:space="preserve"> le PTI en fonctionnement dès qu’il se trouve en situation de travailleur isolé, </w:t>
            </w:r>
            <w:r w:rsidRPr="005A11E3">
              <w:rPr>
                <w:rFonts w:ascii="Arial" w:hAnsi="Arial" w:cs="Arial"/>
                <w:u w:val="single"/>
              </w:rPr>
              <w:t>y compris au poste de garde.</w:t>
            </w:r>
          </w:p>
          <w:p w14:paraId="4363DC2E" w14:textId="77777777" w:rsidR="00C55687" w:rsidRPr="005A11E3" w:rsidRDefault="00C55687" w:rsidP="009260FD">
            <w:pPr>
              <w:pStyle w:val="En-tte"/>
              <w:tabs>
                <w:tab w:val="clear" w:pos="4536"/>
                <w:tab w:val="clear" w:pos="9072"/>
              </w:tabs>
              <w:ind w:left="193"/>
              <w:rPr>
                <w:rFonts w:ascii="Arial" w:hAnsi="Arial" w:cs="Arial"/>
              </w:rPr>
            </w:pPr>
          </w:p>
          <w:p w14:paraId="1906DBB5" w14:textId="77777777" w:rsidR="00AC4F8F" w:rsidRPr="005A11E3" w:rsidRDefault="00AC4F8F" w:rsidP="009260FD">
            <w:pPr>
              <w:pStyle w:val="En-tte"/>
              <w:tabs>
                <w:tab w:val="clear" w:pos="4536"/>
                <w:tab w:val="clear" w:pos="9072"/>
              </w:tabs>
              <w:ind w:left="193"/>
              <w:rPr>
                <w:rFonts w:ascii="Arial" w:hAnsi="Arial" w:cs="Arial"/>
              </w:rPr>
            </w:pPr>
          </w:p>
          <w:p w14:paraId="3F3FF1BC" w14:textId="7438267A" w:rsidR="00AC4F8F" w:rsidRPr="005A11E3" w:rsidRDefault="005A11E3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  <w:b/>
                <w:bCs/>
                <w:smallCaps/>
              </w:rPr>
            </w:pPr>
            <w:r w:rsidRPr="005A11E3">
              <w:rPr>
                <w:rFonts w:ascii="Arial" w:hAnsi="Arial" w:cs="Arial"/>
                <w:b/>
                <w:bCs/>
              </w:rPr>
              <w:t xml:space="preserve">2- </w:t>
            </w:r>
            <w:r w:rsidRPr="005A11E3">
              <w:rPr>
                <w:rFonts w:ascii="Arial" w:hAnsi="Arial" w:cs="Arial"/>
                <w:b/>
                <w:bCs/>
                <w:smallCaps/>
              </w:rPr>
              <w:t>essai de fonctionnement du PTI</w:t>
            </w:r>
          </w:p>
          <w:p w14:paraId="51B680CC" w14:textId="33CB7206" w:rsidR="00AC4F8F" w:rsidRPr="005A11E3" w:rsidRDefault="00AC4F8F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</w:rPr>
            </w:pPr>
            <w:r w:rsidRPr="005A11E3">
              <w:rPr>
                <w:rFonts w:ascii="Arial" w:hAnsi="Arial" w:cs="Arial"/>
              </w:rPr>
              <w:t>Un essai de fonctionnement du PTI est réalisé chaque mercredi par l’agent en poste :</w:t>
            </w:r>
          </w:p>
          <w:p w14:paraId="4EE77EF8" w14:textId="77777777" w:rsidR="00AC4F8F" w:rsidRPr="005A11E3" w:rsidRDefault="00AC4F8F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</w:rPr>
            </w:pPr>
          </w:p>
          <w:p w14:paraId="21FEBD7F" w14:textId="136E7477" w:rsidR="00AC4F8F" w:rsidRPr="005A11E3" w:rsidRDefault="00AC4F8F" w:rsidP="005A11E3">
            <w:pPr>
              <w:pStyle w:val="En-tte"/>
              <w:numPr>
                <w:ilvl w:val="0"/>
                <w:numId w:val="8"/>
              </w:numPr>
              <w:tabs>
                <w:tab w:val="clear" w:pos="4536"/>
                <w:tab w:val="clear" w:pos="9072"/>
              </w:tabs>
              <w:spacing w:before="120"/>
              <w:ind w:left="477" w:right="255" w:hanging="283"/>
              <w:jc w:val="both"/>
              <w:rPr>
                <w:rFonts w:ascii="Arial" w:hAnsi="Arial" w:cs="Arial"/>
              </w:rPr>
            </w:pPr>
            <w:r w:rsidRPr="005A11E3">
              <w:rPr>
                <w:rFonts w:ascii="Arial" w:hAnsi="Arial" w:cs="Arial"/>
              </w:rPr>
              <w:t>Laisser le poste en position horizontale pendant 15 secondes</w:t>
            </w:r>
            <w:r w:rsidR="005A11E3">
              <w:rPr>
                <w:rFonts w:ascii="Arial" w:hAnsi="Arial" w:cs="Arial"/>
              </w:rPr>
              <w:t xml:space="preserve"> (détection de la perte de verticalité)</w:t>
            </w:r>
            <w:r w:rsidRPr="005A11E3">
              <w:rPr>
                <w:rFonts w:ascii="Arial" w:hAnsi="Arial" w:cs="Arial"/>
              </w:rPr>
              <w:t>, une pré-alarme sonore se déclenche, ne pas redresser durant les 15 secondes que dure la pré-alarme</w:t>
            </w:r>
            <w:r w:rsidR="005A11E3">
              <w:rPr>
                <w:rFonts w:ascii="Arial" w:hAnsi="Arial" w:cs="Arial"/>
              </w:rPr>
              <w:t>. L</w:t>
            </w:r>
            <w:r w:rsidRPr="005A11E3">
              <w:rPr>
                <w:rFonts w:ascii="Arial" w:hAnsi="Arial" w:cs="Arial"/>
              </w:rPr>
              <w:t>’alarme est alors transmise à la centrale de télésurveillance (TLS),</w:t>
            </w:r>
          </w:p>
          <w:p w14:paraId="0D7236F5" w14:textId="66DB9452" w:rsidR="00AC4F8F" w:rsidRPr="005A11E3" w:rsidRDefault="00AC4F8F" w:rsidP="005A11E3">
            <w:pPr>
              <w:pStyle w:val="En-tte"/>
              <w:numPr>
                <w:ilvl w:val="0"/>
                <w:numId w:val="8"/>
              </w:numPr>
              <w:tabs>
                <w:tab w:val="clear" w:pos="4536"/>
                <w:tab w:val="clear" w:pos="9072"/>
              </w:tabs>
              <w:spacing w:before="120"/>
              <w:ind w:left="477" w:right="255" w:hanging="283"/>
              <w:jc w:val="both"/>
              <w:rPr>
                <w:rFonts w:ascii="Arial" w:hAnsi="Arial" w:cs="Arial"/>
              </w:rPr>
            </w:pPr>
            <w:proofErr w:type="gramStart"/>
            <w:r w:rsidRPr="005A11E3">
              <w:rPr>
                <w:rFonts w:ascii="Arial" w:hAnsi="Arial" w:cs="Arial"/>
              </w:rPr>
              <w:t>attendre</w:t>
            </w:r>
            <w:proofErr w:type="gramEnd"/>
            <w:r w:rsidRPr="005A11E3">
              <w:rPr>
                <w:rFonts w:ascii="Arial" w:hAnsi="Arial" w:cs="Arial"/>
              </w:rPr>
              <w:t xml:space="preserve"> le contre-appel de la centrale de télésurveillance et donner le code d’acquittement</w:t>
            </w:r>
          </w:p>
          <w:p w14:paraId="749EE2AC" w14:textId="593C315C" w:rsidR="00AC4F8F" w:rsidRPr="005A11E3" w:rsidRDefault="00AC4F8F" w:rsidP="005A11E3">
            <w:pPr>
              <w:pStyle w:val="En-tte"/>
              <w:numPr>
                <w:ilvl w:val="0"/>
                <w:numId w:val="8"/>
              </w:numPr>
              <w:tabs>
                <w:tab w:val="clear" w:pos="4536"/>
                <w:tab w:val="clear" w:pos="9072"/>
              </w:tabs>
              <w:spacing w:before="120"/>
              <w:ind w:left="477" w:right="255" w:hanging="283"/>
              <w:jc w:val="both"/>
              <w:rPr>
                <w:rFonts w:ascii="Arial" w:hAnsi="Arial" w:cs="Arial"/>
              </w:rPr>
            </w:pPr>
            <w:proofErr w:type="gramStart"/>
            <w:r w:rsidRPr="005A11E3">
              <w:rPr>
                <w:rFonts w:ascii="Arial" w:hAnsi="Arial" w:cs="Arial"/>
              </w:rPr>
              <w:t>noter</w:t>
            </w:r>
            <w:proofErr w:type="gramEnd"/>
            <w:r w:rsidRPr="005A11E3">
              <w:rPr>
                <w:rFonts w:ascii="Arial" w:hAnsi="Arial" w:cs="Arial"/>
              </w:rPr>
              <w:t xml:space="preserve"> le test sur la main courante (heure du déclenchement et d</w:t>
            </w:r>
            <w:r w:rsidR="005A11E3">
              <w:rPr>
                <w:rFonts w:ascii="Arial" w:hAnsi="Arial" w:cs="Arial"/>
              </w:rPr>
              <w:t>e</w:t>
            </w:r>
            <w:r w:rsidRPr="005A11E3">
              <w:rPr>
                <w:rFonts w:ascii="Arial" w:hAnsi="Arial" w:cs="Arial"/>
              </w:rPr>
              <w:t xml:space="preserve"> contre-appel de la TLS),</w:t>
            </w:r>
          </w:p>
          <w:p w14:paraId="35AAACB7" w14:textId="32FBA73F" w:rsidR="00AC4F8F" w:rsidRPr="005A11E3" w:rsidRDefault="00AC4F8F" w:rsidP="005A11E3">
            <w:pPr>
              <w:pStyle w:val="En-tte"/>
              <w:numPr>
                <w:ilvl w:val="0"/>
                <w:numId w:val="8"/>
              </w:numPr>
              <w:tabs>
                <w:tab w:val="clear" w:pos="4536"/>
                <w:tab w:val="clear" w:pos="9072"/>
              </w:tabs>
              <w:spacing w:before="120"/>
              <w:ind w:left="477" w:right="255" w:hanging="283"/>
              <w:jc w:val="both"/>
              <w:rPr>
                <w:rFonts w:ascii="Arial" w:hAnsi="Arial" w:cs="Arial"/>
              </w:rPr>
            </w:pPr>
            <w:proofErr w:type="gramStart"/>
            <w:r w:rsidRPr="005A11E3">
              <w:rPr>
                <w:rFonts w:ascii="Arial" w:hAnsi="Arial" w:cs="Arial"/>
              </w:rPr>
              <w:t>pour</w:t>
            </w:r>
            <w:proofErr w:type="gramEnd"/>
            <w:r w:rsidRPr="005A11E3">
              <w:rPr>
                <w:rFonts w:ascii="Arial" w:hAnsi="Arial" w:cs="Arial"/>
              </w:rPr>
              <w:t xml:space="preserve"> acquitter l’alarme, il suffit d’éteindre le poste à l’aide du bouton marche/ arrêt, puis de le rallumer quelques secondes après</w:t>
            </w:r>
          </w:p>
          <w:p w14:paraId="6119F51D" w14:textId="342F9F94" w:rsidR="00AC4F8F" w:rsidRPr="005A11E3" w:rsidRDefault="00AC4F8F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 w:right="255"/>
              <w:jc w:val="both"/>
              <w:rPr>
                <w:rFonts w:ascii="Arial" w:hAnsi="Arial" w:cs="Arial"/>
              </w:rPr>
            </w:pPr>
            <w:proofErr w:type="gramStart"/>
            <w:r w:rsidRPr="005A11E3">
              <w:rPr>
                <w:rFonts w:ascii="Arial" w:hAnsi="Arial" w:cs="Arial"/>
              </w:rPr>
              <w:t>à</w:t>
            </w:r>
            <w:proofErr w:type="gramEnd"/>
            <w:r w:rsidRPr="005A11E3">
              <w:rPr>
                <w:rFonts w:ascii="Arial" w:hAnsi="Arial" w:cs="Arial"/>
              </w:rPr>
              <w:t xml:space="preserve"> défaut de contre-appel de la TLS, l’agent les contacte pour s’assurer de la réception de l’alarme.</w:t>
            </w:r>
          </w:p>
          <w:p w14:paraId="6FB0C889" w14:textId="77777777" w:rsidR="00AC4F8F" w:rsidRPr="005A11E3" w:rsidRDefault="00AC4F8F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328"/>
              <w:rPr>
                <w:rFonts w:ascii="Arial" w:hAnsi="Arial" w:cs="Arial"/>
                <w:u w:val="single"/>
              </w:rPr>
            </w:pPr>
            <w:r w:rsidRPr="005A11E3">
              <w:rPr>
                <w:rFonts w:ascii="Arial" w:hAnsi="Arial" w:cs="Arial"/>
                <w:u w:val="single"/>
              </w:rPr>
              <w:t xml:space="preserve">Centrale de télésurveillance </w:t>
            </w:r>
            <w:r w:rsidRPr="005A11E3">
              <w:rPr>
                <w:rFonts w:ascii="Arial" w:hAnsi="Arial" w:cs="Arial"/>
              </w:rPr>
              <w:t xml:space="preserve">: </w:t>
            </w:r>
            <w:r w:rsidRPr="005A11E3">
              <w:rPr>
                <w:rFonts w:ascii="Arial" w:hAnsi="Arial" w:cs="Arial"/>
                <w:u w:val="single"/>
              </w:rPr>
              <w:t>SERIS Security au 02.51.76.37.40.</w:t>
            </w:r>
          </w:p>
          <w:p w14:paraId="5D15FE41" w14:textId="4DE4094F" w:rsidR="00AC4F8F" w:rsidRDefault="00AC4F8F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328"/>
              <w:rPr>
                <w:rFonts w:ascii="Arial" w:hAnsi="Arial" w:cs="Arial"/>
                <w:u w:val="single"/>
              </w:rPr>
            </w:pPr>
            <w:r w:rsidRPr="005A11E3">
              <w:rPr>
                <w:rFonts w:ascii="Arial" w:hAnsi="Arial" w:cs="Arial"/>
                <w:u w:val="single"/>
              </w:rPr>
              <w:t>Code d’identification :</w:t>
            </w:r>
            <w:r w:rsidRPr="005A11E3">
              <w:rPr>
                <w:rFonts w:ascii="Arial" w:hAnsi="Arial" w:cs="Arial"/>
              </w:rPr>
              <w:t xml:space="preserve">Alcatel Brest  </w:t>
            </w:r>
            <w:r w:rsidRPr="005A11E3">
              <w:rPr>
                <w:rFonts w:ascii="Arial" w:hAnsi="Arial" w:cs="Arial"/>
              </w:rPr>
              <w:tab/>
            </w:r>
            <w:r w:rsidR="003D77C4">
              <w:rPr>
                <w:rFonts w:ascii="Arial" w:hAnsi="Arial" w:cs="Arial"/>
                <w:u w:val="single"/>
              </w:rPr>
              <w:t>code : 70055</w:t>
            </w:r>
          </w:p>
          <w:p w14:paraId="455874BA" w14:textId="77777777" w:rsidR="005A11E3" w:rsidRDefault="005A11E3" w:rsidP="009260FD">
            <w:pPr>
              <w:pStyle w:val="En-tte"/>
              <w:tabs>
                <w:tab w:val="clear" w:pos="4536"/>
                <w:tab w:val="clear" w:pos="9072"/>
              </w:tabs>
              <w:ind w:left="193"/>
              <w:rPr>
                <w:rFonts w:ascii="Arial" w:hAnsi="Arial" w:cs="Arial"/>
                <w:u w:val="single"/>
              </w:rPr>
            </w:pPr>
          </w:p>
          <w:p w14:paraId="7EFB237C" w14:textId="77777777" w:rsidR="005A11E3" w:rsidRPr="005A11E3" w:rsidRDefault="005A11E3" w:rsidP="009260FD">
            <w:pPr>
              <w:pStyle w:val="En-tte"/>
              <w:tabs>
                <w:tab w:val="clear" w:pos="4536"/>
                <w:tab w:val="clear" w:pos="9072"/>
              </w:tabs>
              <w:ind w:left="193"/>
              <w:rPr>
                <w:rFonts w:ascii="Arial" w:hAnsi="Arial" w:cs="Arial"/>
                <w:u w:val="single"/>
              </w:rPr>
            </w:pPr>
          </w:p>
          <w:p w14:paraId="45EA8558" w14:textId="77777777" w:rsidR="005A11E3" w:rsidRPr="005A11E3" w:rsidRDefault="005A11E3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  <w:b/>
                <w:bCs/>
                <w:smallCaps/>
              </w:rPr>
            </w:pPr>
            <w:r w:rsidRPr="005A11E3">
              <w:rPr>
                <w:rFonts w:ascii="Arial" w:hAnsi="Arial" w:cs="Arial"/>
                <w:b/>
                <w:bCs/>
                <w:smallCaps/>
              </w:rPr>
              <w:t>3- Mode dégradé</w:t>
            </w:r>
          </w:p>
          <w:p w14:paraId="132DE7C2" w14:textId="2CBD1F82" w:rsidR="00AC4F8F" w:rsidRPr="005A11E3" w:rsidRDefault="00AC4F8F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</w:rPr>
            </w:pPr>
            <w:r w:rsidRPr="005A11E3">
              <w:rPr>
                <w:rFonts w:ascii="Arial" w:hAnsi="Arial" w:cs="Arial"/>
              </w:rPr>
              <w:t xml:space="preserve">En cas </w:t>
            </w:r>
            <w:r w:rsidR="005A11E3" w:rsidRPr="005A11E3">
              <w:rPr>
                <w:rFonts w:ascii="Arial" w:hAnsi="Arial" w:cs="Arial"/>
              </w:rPr>
              <w:t xml:space="preserve">de dysfonctionnement ou </w:t>
            </w:r>
            <w:r w:rsidRPr="005A11E3">
              <w:rPr>
                <w:rFonts w:ascii="Arial" w:hAnsi="Arial" w:cs="Arial"/>
              </w:rPr>
              <w:t>d’absence de transmission de l’alerte PTI à la TLS, l’agent dés lors qu’il est en position de travailleur isolé</w:t>
            </w:r>
            <w:r w:rsidR="005A11E3">
              <w:rPr>
                <w:rFonts w:ascii="Arial" w:hAnsi="Arial" w:cs="Arial"/>
              </w:rPr>
              <w:t>,</w:t>
            </w:r>
            <w:r w:rsidRPr="005A11E3">
              <w:rPr>
                <w:rFonts w:ascii="Arial" w:hAnsi="Arial" w:cs="Arial"/>
              </w:rPr>
              <w:t xml:space="preserve"> donne consigne à la TLS d’effectuer un appel de sécurité toutes les heures jusqu’à la fermeture du site. </w:t>
            </w:r>
          </w:p>
          <w:p w14:paraId="77285EDA" w14:textId="231EF692" w:rsidR="00AC4F8F" w:rsidRPr="005A11E3" w:rsidRDefault="00AC4F8F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</w:rPr>
            </w:pPr>
            <w:r w:rsidRPr="005A11E3">
              <w:rPr>
                <w:rFonts w:ascii="Arial" w:hAnsi="Arial" w:cs="Arial"/>
              </w:rPr>
              <w:t>A défaut de réponse de l’agent, la TLS fait intervenir le rondier CRI sur place</w:t>
            </w:r>
          </w:p>
          <w:p w14:paraId="08F7AA6E" w14:textId="13E40FF5" w:rsidR="00AC4F8F" w:rsidRPr="005A11E3" w:rsidRDefault="005A11E3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</w:rPr>
            </w:pPr>
            <w:r w:rsidRPr="005A11E3">
              <w:rPr>
                <w:rFonts w:ascii="Arial" w:hAnsi="Arial" w:cs="Arial"/>
              </w:rPr>
              <w:t>L’agent inscrit l’évènement sur la main courante et signale le dysfonctionnement au plus tôt à l’agence</w:t>
            </w:r>
          </w:p>
          <w:p w14:paraId="285B3DED" w14:textId="314E2373" w:rsidR="002E3525" w:rsidRPr="005A11E3" w:rsidRDefault="002E3525" w:rsidP="005A11E3">
            <w:pPr>
              <w:pStyle w:val="En-tte"/>
              <w:tabs>
                <w:tab w:val="clear" w:pos="4536"/>
                <w:tab w:val="clear" w:pos="9072"/>
              </w:tabs>
              <w:spacing w:before="120"/>
              <w:ind w:left="194"/>
              <w:rPr>
                <w:rFonts w:ascii="Arial" w:hAnsi="Arial" w:cs="Arial"/>
              </w:rPr>
            </w:pPr>
          </w:p>
        </w:tc>
      </w:tr>
    </w:tbl>
    <w:p w14:paraId="23D0CC03" w14:textId="636930E6" w:rsidR="00DD17FA" w:rsidRDefault="00DD17FA">
      <w:pPr>
        <w:rPr>
          <w:rFonts w:ascii="Arial" w:hAnsi="Arial"/>
          <w:sz w:val="20"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5CCFA654" w14:textId="6B998FEE" w:rsidR="00DD17FA" w:rsidRDefault="00DD17FA">
      <w:pPr>
        <w:rPr>
          <w:rFonts w:ascii="Arial" w:hAnsi="Arial"/>
          <w:sz w:val="20"/>
        </w:rPr>
      </w:pPr>
    </w:p>
    <w:p w14:paraId="6B7855FE" w14:textId="77777777" w:rsidR="00DD17FA" w:rsidRDefault="00DD17FA">
      <w:pPr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9260FD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BA8B096" w14:textId="08A84980" w:rsidR="009260FD" w:rsidRPr="00570EC7" w:rsidRDefault="009260FD" w:rsidP="009260FD">
            <w:pPr>
              <w:spacing w:before="120" w:after="120"/>
              <w:jc w:val="center"/>
            </w:pPr>
            <w:r w:rsidRPr="0024528A">
              <w:rPr>
                <w:rFonts w:ascii="Arial" w:hAnsi="Arial" w:cs="Arial"/>
                <w:b/>
                <w:bCs/>
              </w:rPr>
              <w:t>PRISE EN COMPTE</w:t>
            </w:r>
            <w:r w:rsidRPr="0024528A">
              <w:rPr>
                <w:rFonts w:ascii="Arial" w:hAnsi="Arial" w:cs="Arial"/>
                <w:b/>
                <w:bCs/>
              </w:rPr>
              <w:br/>
              <w:t xml:space="preserve">De la consigne n° SC </w:t>
            </w:r>
            <w:r>
              <w:rPr>
                <w:rFonts w:ascii="Arial" w:hAnsi="Arial" w:cs="Arial"/>
                <w:b/>
                <w:bCs/>
              </w:rPr>
              <w:t>3</w:t>
            </w:r>
            <w:r w:rsidRPr="0024528A">
              <w:rPr>
                <w:rFonts w:ascii="Arial" w:hAnsi="Arial" w:cs="Arial"/>
                <w:b/>
                <w:bCs/>
              </w:rPr>
              <w:t xml:space="preserve"> relative à la consigne « </w:t>
            </w:r>
            <w:r>
              <w:rPr>
                <w:rFonts w:ascii="Arial" w:hAnsi="Arial" w:cs="Arial"/>
                <w:b/>
                <w:bCs/>
              </w:rPr>
              <w:t>utilisation du PTI SERIS</w:t>
            </w:r>
            <w:r w:rsidRPr="0024528A">
              <w:rPr>
                <w:rFonts w:ascii="Arial" w:hAnsi="Arial" w:cs="Arial"/>
                <w:b/>
                <w:bCs/>
              </w:rPr>
              <w:t> »</w:t>
            </w:r>
          </w:p>
        </w:tc>
      </w:tr>
      <w:tr w:rsidR="009260FD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9260FD" w:rsidRDefault="009260FD" w:rsidP="009260FD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9260FD" w:rsidRDefault="009260FD" w:rsidP="009260FD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9260FD" w:rsidRDefault="009260FD" w:rsidP="009260FD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9260FD" w:rsidRDefault="009260FD" w:rsidP="009260FD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9260FD" w:rsidRDefault="009260FD" w:rsidP="009260FD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9260FD" w:rsidRDefault="009260FD" w:rsidP="009260FD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9260FD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731DF850" w:rsidR="009260FD" w:rsidRPr="009B6D5C" w:rsidRDefault="00A3396A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662E0E17" w:rsidR="009260FD" w:rsidRPr="009B6D5C" w:rsidRDefault="00A3396A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61F00362" w:rsidR="009260FD" w:rsidRPr="009B6D5C" w:rsidRDefault="00A3396A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A3396A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1E2E7467" w:rsidR="00A3396A" w:rsidRPr="009B6D5C" w:rsidRDefault="00A3396A" w:rsidP="00A3396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77A1247C" w14:textId="4E1222F1" w:rsidR="00A3396A" w:rsidRPr="009B6D5C" w:rsidRDefault="00A3396A" w:rsidP="00A3396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30CB7900" w:rsidR="00A3396A" w:rsidRPr="009B6D5C" w:rsidRDefault="00A3396A" w:rsidP="00A3396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C2606D">
              <w:rPr>
                <w:rFonts w:ascii="Arial" w:hAnsi="Arial"/>
                <w:sz w:val="16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A3396A" w:rsidRPr="009B6D5C" w:rsidRDefault="00A3396A" w:rsidP="00A3396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A3396A" w:rsidRPr="009B6D5C" w:rsidRDefault="00A3396A" w:rsidP="00A3396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A3396A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766C404D" w:rsidR="00A3396A" w:rsidRPr="009B6D5C" w:rsidRDefault="00A3396A" w:rsidP="00A3396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3841EFF1" w14:textId="629FCD3E" w:rsidR="00A3396A" w:rsidRPr="009B6D5C" w:rsidRDefault="00A3396A" w:rsidP="00A3396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08EDD117" w:rsidR="00A3396A" w:rsidRPr="009B6D5C" w:rsidRDefault="00A3396A" w:rsidP="00A3396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C2606D">
              <w:rPr>
                <w:rFonts w:ascii="Arial" w:hAnsi="Arial"/>
                <w:sz w:val="16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A3396A" w:rsidRPr="009B6D5C" w:rsidRDefault="00A3396A" w:rsidP="00A3396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A3396A" w:rsidRPr="009B6D5C" w:rsidRDefault="00A3396A" w:rsidP="00A3396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A3396A" w14:paraId="1D6BE42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173084A3" w:rsidR="00A3396A" w:rsidRPr="009B6D5C" w:rsidRDefault="00A3396A" w:rsidP="00A3396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2B1E4740" w14:textId="535350C4" w:rsidR="00A3396A" w:rsidRPr="009B6D5C" w:rsidRDefault="00A3396A" w:rsidP="00A3396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267B1BE6" w:rsidR="00A3396A" w:rsidRPr="009B6D5C" w:rsidRDefault="00A3396A" w:rsidP="00A3396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C2606D">
              <w:rPr>
                <w:rFonts w:ascii="Arial" w:hAnsi="Arial"/>
                <w:sz w:val="16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A3396A" w:rsidRPr="009B6D5C" w:rsidRDefault="00A3396A" w:rsidP="00A3396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A3396A" w:rsidRPr="009B6D5C" w:rsidRDefault="00A3396A" w:rsidP="00A3396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53DD90D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19356801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23A2C09" w14:textId="3A097E0C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0ACEC934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3BFF109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E38BDB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879035B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582C01B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410A401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7065D2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57E85D1D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101426C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85DF404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766FB91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4CDD9C4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8282A38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03363EAB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429748D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5691240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AEDF09A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5340522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7B5C43E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62984FA4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3F4F299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70BB5B1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7462688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9412A70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405EE6B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32E8EC0C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686BF55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A66E2A3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8118159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29C102B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8251D7C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1324A009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41C1503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45ED62D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54B5E22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766F366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39480F9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7B1B3CC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E6CFE65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6685F60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D1FDB4A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A2C718F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60D6652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09F38CEC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4B43348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0203735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EF2D53B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4EAFE57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62C3B81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67D2935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11B8C3A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8DF5A65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B9BBFEB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11E4B12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32F44A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164EE5C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0E15B87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0814EF8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BBF3C8F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02832A32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CF67762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2348E3E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8101AD0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CE182B8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26088B7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C698CFB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8522B03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396FDDF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F0ECA28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56E3A85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0C7DFED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EE6583F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5D437DD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7650DDB4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65F6806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5265884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B1E8B7A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DD9CB1E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7522B39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12FC9DCB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8EDAC2E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0F3298A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B8D8240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ECAB967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376A7A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588116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12591E2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95A7427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E26C91F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0FE72A5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C80E940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2C8CBAB1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2AA9401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4FCC21C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FAF542E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43D68C4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E8EB04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699ADE60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4CCA835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A5DBC2A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90878F7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515702D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27D3D07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0EC8190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0A7DF7" w14:textId="282B0CAC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B8F6239" w14:textId="6A17A53D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2B4DFE0B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60171E0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D75F2A6" w14:textId="525793D2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0EA8580" w14:textId="40C7F6E5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5CFF99DB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1E91264" w14:textId="31668B5E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5738A94" w14:textId="017645F5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5329236D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4BE553A" w14:textId="01F9E380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4D876C7" w14:textId="24F2642D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260FD" w14:paraId="43E18271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</w:tcPr>
          <w:p w14:paraId="0F70B866" w14:textId="0D901806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9260FD" w:rsidRPr="009B6D5C" w:rsidRDefault="009260FD" w:rsidP="009260FD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8"/>
      <w:footerReference w:type="default" r:id="rId9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13148" w14:textId="77777777" w:rsidR="006B00C7" w:rsidRDefault="006B00C7">
      <w:r>
        <w:separator/>
      </w:r>
    </w:p>
  </w:endnote>
  <w:endnote w:type="continuationSeparator" w:id="0">
    <w:p w14:paraId="0B8C4962" w14:textId="77777777" w:rsidR="006B00C7" w:rsidRDefault="006B0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3DE33" w14:textId="77777777" w:rsidR="006B00C7" w:rsidRDefault="006B00C7">
      <w:r>
        <w:separator/>
      </w:r>
    </w:p>
  </w:footnote>
  <w:footnote w:type="continuationSeparator" w:id="0">
    <w:p w14:paraId="361B4AC7" w14:textId="77777777" w:rsidR="006B00C7" w:rsidRDefault="006B00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29D2D70B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9260FD">
      <w:rPr>
        <w:rFonts w:ascii="Arial" w:hAnsi="Arial" w:cs="Arial"/>
      </w:rPr>
      <w:t>25/11/2025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87CB3"/>
    <w:multiLevelType w:val="singleLevel"/>
    <w:tmpl w:val="6F1C14EE"/>
    <w:lvl w:ilvl="0">
      <w:start w:val="5"/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ascii="Times New Roman" w:hAnsi="Times New Roman" w:hint="default"/>
      </w:rPr>
    </w:lvl>
  </w:abstractNum>
  <w:abstractNum w:abstractNumId="1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3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4" w15:restartNumberingAfterBreak="0">
    <w:nsid w:val="2E442269"/>
    <w:multiLevelType w:val="hybridMultilevel"/>
    <w:tmpl w:val="7F344EE4"/>
    <w:lvl w:ilvl="0" w:tplc="BBE24A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986863">
    <w:abstractNumId w:val="7"/>
  </w:num>
  <w:num w:numId="2" w16cid:durableId="993950709">
    <w:abstractNumId w:val="6"/>
  </w:num>
  <w:num w:numId="3" w16cid:durableId="2072346470">
    <w:abstractNumId w:val="1"/>
  </w:num>
  <w:num w:numId="4" w16cid:durableId="2125885877">
    <w:abstractNumId w:val="5"/>
  </w:num>
  <w:num w:numId="5" w16cid:durableId="271599248">
    <w:abstractNumId w:val="3"/>
  </w:num>
  <w:num w:numId="6" w16cid:durableId="2130541934">
    <w:abstractNumId w:val="2"/>
  </w:num>
  <w:num w:numId="7" w16cid:durableId="166753222">
    <w:abstractNumId w:val="4"/>
  </w:num>
  <w:num w:numId="8" w16cid:durableId="782503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5301D"/>
    <w:rsid w:val="00082B8B"/>
    <w:rsid w:val="00085BC0"/>
    <w:rsid w:val="000B650D"/>
    <w:rsid w:val="000C2C4B"/>
    <w:rsid w:val="0010649D"/>
    <w:rsid w:val="001A0BE3"/>
    <w:rsid w:val="001E3177"/>
    <w:rsid w:val="002254A6"/>
    <w:rsid w:val="002332A8"/>
    <w:rsid w:val="002865BE"/>
    <w:rsid w:val="00290F9D"/>
    <w:rsid w:val="002E3525"/>
    <w:rsid w:val="00366BF1"/>
    <w:rsid w:val="003936C6"/>
    <w:rsid w:val="003B2658"/>
    <w:rsid w:val="003D6653"/>
    <w:rsid w:val="003D77C4"/>
    <w:rsid w:val="003E6380"/>
    <w:rsid w:val="003F5E9F"/>
    <w:rsid w:val="00422128"/>
    <w:rsid w:val="00435152"/>
    <w:rsid w:val="00446762"/>
    <w:rsid w:val="00477570"/>
    <w:rsid w:val="004A596E"/>
    <w:rsid w:val="00500911"/>
    <w:rsid w:val="005220A6"/>
    <w:rsid w:val="0055093F"/>
    <w:rsid w:val="00566733"/>
    <w:rsid w:val="00570EC7"/>
    <w:rsid w:val="00577502"/>
    <w:rsid w:val="005A11E3"/>
    <w:rsid w:val="005B327E"/>
    <w:rsid w:val="005D4034"/>
    <w:rsid w:val="005D6D16"/>
    <w:rsid w:val="00635778"/>
    <w:rsid w:val="00654636"/>
    <w:rsid w:val="00664F7D"/>
    <w:rsid w:val="006B00C7"/>
    <w:rsid w:val="006B0138"/>
    <w:rsid w:val="006D7158"/>
    <w:rsid w:val="00711FDD"/>
    <w:rsid w:val="00756404"/>
    <w:rsid w:val="00771CB9"/>
    <w:rsid w:val="007E464A"/>
    <w:rsid w:val="008273E4"/>
    <w:rsid w:val="00896651"/>
    <w:rsid w:val="008B3744"/>
    <w:rsid w:val="008B4547"/>
    <w:rsid w:val="008E5030"/>
    <w:rsid w:val="009123AD"/>
    <w:rsid w:val="009260FD"/>
    <w:rsid w:val="00973100"/>
    <w:rsid w:val="009A421A"/>
    <w:rsid w:val="009B6D5C"/>
    <w:rsid w:val="00A3396A"/>
    <w:rsid w:val="00A40E32"/>
    <w:rsid w:val="00A957A2"/>
    <w:rsid w:val="00AC4F8F"/>
    <w:rsid w:val="00AD3172"/>
    <w:rsid w:val="00AD5AD8"/>
    <w:rsid w:val="00AD6C24"/>
    <w:rsid w:val="00B4006C"/>
    <w:rsid w:val="00BC3103"/>
    <w:rsid w:val="00C02055"/>
    <w:rsid w:val="00C367D1"/>
    <w:rsid w:val="00C46402"/>
    <w:rsid w:val="00C55687"/>
    <w:rsid w:val="00CB2AA3"/>
    <w:rsid w:val="00CC2AA8"/>
    <w:rsid w:val="00D00159"/>
    <w:rsid w:val="00D03250"/>
    <w:rsid w:val="00D55778"/>
    <w:rsid w:val="00D6726D"/>
    <w:rsid w:val="00D77401"/>
    <w:rsid w:val="00DD17FA"/>
    <w:rsid w:val="00E11EAE"/>
    <w:rsid w:val="00E226E9"/>
    <w:rsid w:val="00E70B3E"/>
    <w:rsid w:val="00E90835"/>
    <w:rsid w:val="00E93A9A"/>
    <w:rsid w:val="00EB151D"/>
    <w:rsid w:val="00EB3D5B"/>
    <w:rsid w:val="00EC356E"/>
    <w:rsid w:val="00F11D26"/>
    <w:rsid w:val="00F20507"/>
    <w:rsid w:val="00F406DF"/>
    <w:rsid w:val="00FD54D7"/>
    <w:rsid w:val="00FD66FF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character" w:customStyle="1" w:styleId="En-tteCar">
    <w:name w:val="En-tête Car"/>
    <w:basedOn w:val="Policepardfaut"/>
    <w:link w:val="En-tte"/>
    <w:uiPriority w:val="99"/>
    <w:rsid w:val="00C55687"/>
    <w:rPr>
      <w:sz w:val="24"/>
      <w:szCs w:val="24"/>
    </w:rPr>
  </w:style>
  <w:style w:type="table" w:styleId="Grilledutableau">
    <w:name w:val="Table Grid"/>
    <w:basedOn w:val="TableauNormal"/>
    <w:rsid w:val="005A11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1927E-B37C-4411-A0B4-C0A7CBB5B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9</cp:revision>
  <cp:lastPrinted>2006-01-03T07:59:00Z</cp:lastPrinted>
  <dcterms:created xsi:type="dcterms:W3CDTF">2025-11-18T14:53:00Z</dcterms:created>
  <dcterms:modified xsi:type="dcterms:W3CDTF">2026-02-11T14:13:00Z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