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D4159A"/>
          <w:sz w:val="72"/>
        </w:rPr>
        <w:t>CENSUSGUARD™</w:t>
      </w:r>
    </w:p>
    <w:p>
      <w:pPr>
        <w:jc w:val="center"/>
      </w:pPr>
      <w:r>
        <w:rPr>
          <w:b/>
          <w:color w:val="8844E8"/>
          <w:sz w:val="40"/>
        </w:rPr>
        <w:t>Master Reference Guide</w:t>
      </w:r>
    </w:p>
    <w:p>
      <w:pPr>
        <w:jc w:val="center"/>
      </w:pPr>
      <w:r>
        <w:rPr>
          <w:color w:val="777777"/>
          <w:sz w:val="20"/>
        </w:rPr>
        <w:t>AnchorPoint Health Systems  ·  April 2026  ·  Confidential</w:t>
      </w:r>
    </w:p>
    <w:p>
      <w:pPr>
        <w:spacing w:before="40" w:after="80"/>
        <w:pBdr>
          <w:bottom w:val="single" w:sz="12" w:space="1" w:color="D4159A"/>
        </w:pBdr>
      </w:pPr>
    </w:p>
    <w:p>
      <w:pPr>
        <w:jc w:val="center"/>
      </w:pPr>
      <w:r>
        <w:rPr>
          <w:i/>
          <w:color w:val="444444"/>
          <w:sz w:val="26"/>
        </w:rPr>
        <w:t>"See the signs before the shift."</w:t>
      </w:r>
    </w:p>
    <w:p>
      <w:r>
        <w:br w:type="page"/>
      </w:r>
    </w:p>
    <w:p>
      <w:pPr>
        <w:spacing w:before="280" w:after="40"/>
      </w:pPr>
      <w:r>
        <w:rPr>
          <w:b/>
          <w:color w:val="D4159A"/>
          <w:sz w:val="36"/>
        </w:rPr>
        <w:t>1. COMPANY OVERVIEW</w:t>
      </w:r>
    </w:p>
    <w:p>
      <w:pPr>
        <w:spacing w:before="40" w:after="80"/>
        <w:pBdr>
          <w:bottom w:val="single" w:sz="12" w:space="1" w:color="D4159A"/>
        </w:pBdr>
      </w:pPr>
    </w:p>
    <w:p>
      <w:pPr>
        <w:spacing w:before="200" w:after="40"/>
      </w:pPr>
      <w:r>
        <w:rPr>
          <w:b/>
          <w:color w:val="8844E8"/>
          <w:sz w:val="24"/>
        </w:rPr>
        <w:t>WHAT WE ARE</w:t>
      </w:r>
    </w:p>
    <w:p>
      <w:pPr>
        <w:spacing w:after="100"/>
      </w:pPr>
      <w:r>
        <w:rPr>
          <w:b w:val="0"/>
          <w:i w:val="0"/>
          <w:color w:val="000000"/>
          <w:sz w:val="22"/>
        </w:rPr>
        <w:t>AnchorPoint Health Systems is an AI-powered health technology company providing real-time Remote Patient Monitoring (RPM) for SUD and behavioral health treatment programs. Our flagship product, CensusGuard™, continuously monitors patient risk and alerts clinical teams before patients leave Against Medical Advice (AMA).</w:t>
      </w:r>
    </w:p>
    <w:p>
      <w:pPr>
        <w:spacing w:before="200" w:after="40"/>
      </w:pPr>
      <w:r>
        <w:rPr>
          <w:b/>
          <w:color w:val="D4159A"/>
          <w:sz w:val="24"/>
        </w:rPr>
        <w:t>CATEGORY — SAY THIS EVERY TIME</w:t>
      </w:r>
    </w:p>
    <w:p>
      <w:pPr>
        <w:spacing w:after="100"/>
      </w:pPr>
      <w:r>
        <w:rPr>
          <w:b/>
          <w:i w:val="0"/>
          <w:color w:val="D4159A"/>
          <w:sz w:val="22"/>
        </w:rPr>
        <w:t>Remote Patient Monitoring (RPM) for Behavioral Health Retention</w:t>
      </w:r>
    </w:p>
    <w:p>
      <w:pPr>
        <w:spacing w:after="100"/>
      </w:pPr>
      <w:r>
        <w:rPr>
          <w:b w:val="0"/>
          <w:i w:val="0"/>
          <w:color w:val="000000"/>
          <w:sz w:val="22"/>
        </w:rPr>
        <w:t>RPM market: $175B+ and growing 20%+ YoY. Behavioral health is the most underserved RPM category. CensusGuard owns this whitespace.</w:t>
      </w:r>
    </w:p>
    <w:p>
      <w:pPr>
        <w:spacing w:before="200" w:after="40"/>
      </w:pPr>
      <w:r>
        <w:rPr>
          <w:b/>
          <w:color w:val="8844E8"/>
          <w:sz w:val="24"/>
        </w:rPr>
        <w:t>WHAT WE ARE NOT</w:t>
      </w:r>
    </w:p>
    <w:p>
      <w:pPr>
        <w:pStyle w:val="ListBullet"/>
        <w:spacing w:after="60"/>
      </w:pPr>
      <w:r>
        <w:rPr>
          <w:color w:val="000000"/>
          <w:sz w:val="22"/>
        </w:rPr>
        <w:t>NOT a relapse prevention app</w:t>
      </w:r>
    </w:p>
    <w:p>
      <w:pPr>
        <w:pStyle w:val="ListBullet"/>
        <w:spacing w:after="60"/>
      </w:pPr>
      <w:r>
        <w:rPr>
          <w:color w:val="000000"/>
          <w:sz w:val="22"/>
        </w:rPr>
        <w:t>NOT a batch reporting tool</w:t>
      </w:r>
    </w:p>
    <w:p>
      <w:pPr>
        <w:pStyle w:val="ListBullet"/>
        <w:spacing w:after="60"/>
      </w:pPr>
      <w:r>
        <w:rPr>
          <w:color w:val="000000"/>
          <w:sz w:val="22"/>
        </w:rPr>
        <w:t>NOT an EHR replacement</w:t>
      </w:r>
    </w:p>
    <w:p>
      <w:pPr>
        <w:pStyle w:val="ListBullet"/>
        <w:spacing w:after="60"/>
      </w:pPr>
      <w:r>
        <w:rPr>
          <w:color w:val="000000"/>
          <w:sz w:val="22"/>
        </w:rPr>
        <w:t>NOT a wellness platform</w:t>
      </w:r>
    </w:p>
    <w:p>
      <w:pPr>
        <w:spacing w:before="200" w:after="40"/>
      </w:pPr>
      <w:r>
        <w:rPr>
          <w:b/>
          <w:color w:val="8844E8"/>
          <w:sz w:val="24"/>
        </w:rPr>
        <w:t>TAGLINE</w:t>
      </w:r>
    </w:p>
    <w:p>
      <w:pPr>
        <w:spacing w:after="100"/>
      </w:pPr>
      <w:r>
        <w:rPr>
          <w:b w:val="0"/>
          <w:i/>
          <w:color w:val="777777"/>
          <w:sz w:val="22"/>
        </w:rPr>
        <w:t>"See the signs before the shift."</w:t>
      </w:r>
    </w:p>
    <w:p>
      <w:pPr>
        <w:spacing w:before="200" w:after="40"/>
      </w:pPr>
      <w:r>
        <w:rPr>
          <w:b/>
          <w:color w:val="8844E8"/>
          <w:sz w:val="24"/>
        </w:rPr>
        <w:t>COMPANY DETAILS</w:t>
      </w:r>
    </w:p>
    <w:p>
      <w:pPr>
        <w:pStyle w:val="ListBullet"/>
        <w:spacing w:after="60"/>
      </w:pPr>
      <w:r>
        <w:rPr>
          <w:color w:val="000000"/>
          <w:sz w:val="22"/>
        </w:rPr>
        <w:t>Legal: AnchorPoint Health Systems LLC</w:t>
      </w:r>
    </w:p>
    <w:p>
      <w:pPr>
        <w:pStyle w:val="ListBullet"/>
        <w:spacing w:after="60"/>
      </w:pPr>
      <w:r>
        <w:rPr>
          <w:color w:val="000000"/>
          <w:sz w:val="22"/>
        </w:rPr>
        <w:t>Founded: March 2026</w:t>
      </w:r>
    </w:p>
    <w:p>
      <w:pPr>
        <w:pStyle w:val="ListBullet"/>
        <w:spacing w:after="60"/>
      </w:pPr>
      <w:r>
        <w:rPr>
          <w:color w:val="000000"/>
          <w:sz w:val="22"/>
        </w:rPr>
        <w:t>Location: Moore, Oklahoma</w:t>
      </w:r>
    </w:p>
    <w:p>
      <w:pPr>
        <w:pStyle w:val="ListBullet"/>
        <w:spacing w:after="60"/>
      </w:pPr>
      <w:r>
        <w:rPr>
          <w:color w:val="000000"/>
          <w:sz w:val="22"/>
        </w:rPr>
        <w:t>Stage: Pre-seed</w:t>
      </w:r>
    </w:p>
    <w:p>
      <w:pPr>
        <w:pStyle w:val="ListBullet"/>
        <w:spacing w:after="60"/>
      </w:pPr>
      <w:r>
        <w:rPr>
          <w:color w:val="000000"/>
          <w:sz w:val="22"/>
        </w:rPr>
        <w:t>EIN secured · Mercury bank account active</w:t>
      </w:r>
    </w:p>
    <w:p>
      <w:r>
        <w:br w:type="page"/>
      </w:r>
    </w:p>
    <w:p>
      <w:pPr>
        <w:spacing w:before="280" w:after="40"/>
      </w:pPr>
      <w:r>
        <w:rPr>
          <w:b/>
          <w:color w:val="D4159A"/>
          <w:sz w:val="36"/>
        </w:rPr>
        <w:t>2. THE PROBLEM</w:t>
      </w:r>
    </w:p>
    <w:p>
      <w:pPr>
        <w:spacing w:before="40" w:after="80"/>
        <w:pBdr>
          <w:bottom w:val="single" w:sz="12" w:space="1" w:color="D4159A"/>
        </w:pBdr>
      </w:pPr>
    </w:p>
    <w:p>
      <w:pPr>
        <w:spacing w:before="200" w:after="40"/>
      </w:pPr>
      <w:r>
        <w:rPr>
          <w:b/>
          <w:color w:val="8844E8"/>
          <w:sz w:val="24"/>
        </w:rPr>
        <w:t>THE CRISIS</w:t>
      </w:r>
    </w:p>
    <w:p>
      <w:pPr>
        <w:pStyle w:val="ListBullet"/>
        <w:spacing w:after="60"/>
      </w:pPr>
      <w:r>
        <w:rPr>
          <w:color w:val="000000"/>
          <w:sz w:val="22"/>
        </w:rPr>
        <w:t>Addiction is the #1 cause of death for Americans ages 18–45</w:t>
      </w:r>
    </w:p>
    <w:p>
      <w:pPr>
        <w:pStyle w:val="ListBullet"/>
        <w:spacing w:after="60"/>
      </w:pPr>
      <w:r>
        <w:rPr>
          <w:color w:val="000000"/>
          <w:sz w:val="22"/>
        </w:rPr>
        <w:t>48.4 million Americans are struggling with addiction right now</w:t>
      </w:r>
    </w:p>
    <w:p>
      <w:pPr>
        <w:pStyle w:val="ListBullet"/>
        <w:spacing w:after="60"/>
      </w:pPr>
      <w:r>
        <w:rPr>
          <w:color w:val="000000"/>
          <w:sz w:val="22"/>
        </w:rPr>
        <w:t>73% CAN recover — if they complete treatment</w:t>
      </w:r>
    </w:p>
    <w:p>
      <w:pPr>
        <w:pStyle w:val="ListBullet"/>
        <w:spacing w:after="60"/>
      </w:pPr>
      <w:r>
        <w:rPr>
          <w:color w:val="000000"/>
          <w:sz w:val="22"/>
        </w:rPr>
        <w:t>1 in 3 patients leave treatment before it can save them (AMA discharge)</w:t>
      </w:r>
    </w:p>
    <w:p>
      <w:pPr>
        <w:spacing w:before="200" w:after="40"/>
      </w:pPr>
      <w:r>
        <w:rPr>
          <w:b/>
          <w:color w:val="8844E8"/>
          <w:sz w:val="24"/>
        </w:rPr>
        <w:t>HUMAN COST OF AMA DISCHARGE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10× higher overdose risk</w:t>
      </w:r>
      <w:r>
        <w:rPr>
          <w:color w:val="000000"/>
          <w:sz w:val="22"/>
        </w:rPr>
        <w:t xml:space="preserve"> within 30 days — PMC/NCBI HR 10.1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77% less likely</w:t>
      </w:r>
      <w:r>
        <w:rPr>
          <w:color w:val="000000"/>
          <w:sz w:val="22"/>
        </w:rPr>
        <w:t xml:space="preserve"> to be abstinent at one year — Vista Research, n=27,000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3× more likely</w:t>
      </w:r>
      <w:r>
        <w:rPr>
          <w:color w:val="000000"/>
          <w:sz w:val="22"/>
        </w:rPr>
        <w:t xml:space="preserve"> to be actively using one year later — Raynes et al.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40–60% leave early</w:t>
      </w:r>
      <w:r>
        <w:rPr>
          <w:color w:val="000000"/>
          <w:sz w:val="22"/>
        </w:rPr>
        <w:t>; up to 80% in some settings — Journal of Dual Diagnosis 2025</w:t>
      </w:r>
    </w:p>
    <w:p>
      <w:pPr>
        <w:spacing w:before="200" w:after="40"/>
      </w:pPr>
      <w:r>
        <w:rPr>
          <w:b/>
          <w:color w:val="8844E8"/>
          <w:sz w:val="24"/>
        </w:rPr>
        <w:t>BUSINESS COST</w:t>
      </w:r>
    </w:p>
    <w:p>
      <w:pPr>
        <w:pStyle w:val="ListBullet"/>
        <w:spacing w:after="60"/>
      </w:pPr>
      <w:r>
        <w:rPr>
          <w:color w:val="000000"/>
          <w:sz w:val="22"/>
        </w:rPr>
        <w:t>$820B — annual cost of addiction to the US economy</w:t>
      </w:r>
    </w:p>
    <w:p>
      <w:pPr>
        <w:pStyle w:val="ListBullet"/>
        <w:spacing w:after="60"/>
      </w:pPr>
      <w:r>
        <w:rPr>
          <w:color w:val="000000"/>
          <w:sz w:val="22"/>
        </w:rPr>
        <w:t>$15,000–$60,000 lost per AMA discharge (lost census revenue)</w:t>
      </w:r>
    </w:p>
    <w:p>
      <w:pPr>
        <w:pStyle w:val="ListBullet"/>
        <w:spacing w:after="60"/>
      </w:pPr>
      <w:r>
        <w:rPr>
          <w:color w:val="000000"/>
          <w:sz w:val="22"/>
        </w:rPr>
        <w:t>Insurers increasingly penalizing facilities for high readmission rates</w:t>
      </w:r>
    </w:p>
    <w:p>
      <w:pPr>
        <w:pStyle w:val="ListBullet"/>
        <w:spacing w:after="60"/>
      </w:pPr>
      <w:r>
        <w:rPr>
          <w:color w:val="000000"/>
          <w:sz w:val="22"/>
        </w:rPr>
        <w:t>Average readmission costs insurers $35,000+ in claims</w:t>
      </w:r>
    </w:p>
    <w:p>
      <w:pPr>
        <w:spacing w:before="200" w:after="40"/>
      </w:pPr>
      <w:r>
        <w:rPr>
          <w:b/>
          <w:color w:val="8844E8"/>
          <w:sz w:val="24"/>
        </w:rPr>
        <w:t>WHY CURRENT SOLUTIONS FAIL</w:t>
      </w:r>
    </w:p>
    <w:p>
      <w:pPr>
        <w:spacing w:after="100"/>
      </w:pPr>
      <w:r>
        <w:rPr>
          <w:b w:val="0"/>
          <w:i/>
          <w:color w:val="777777"/>
          <w:sz w:val="22"/>
        </w:rPr>
        <w:t>They all tell you what already happened. None tell you what's coming.</w:t>
      </w:r>
    </w:p>
    <w:p>
      <w:pPr>
        <w:pStyle w:val="ListBullet"/>
        <w:spacing w:after="60"/>
      </w:pPr>
      <w:r>
        <w:rPr>
          <w:color w:val="000000"/>
          <w:sz w:val="22"/>
        </w:rPr>
        <w:t>Gut Feeling — inconsistent, unscalable staff intuition</w:t>
      </w:r>
    </w:p>
    <w:p>
      <w:pPr>
        <w:pStyle w:val="ListBullet"/>
        <w:spacing w:after="60"/>
      </w:pPr>
      <w:r>
        <w:rPr>
          <w:color w:val="000000"/>
          <w:sz w:val="22"/>
        </w:rPr>
        <w:t>Batch Reports — 24-hour lag; patient has already left</w:t>
      </w:r>
    </w:p>
    <w:p>
      <w:pPr>
        <w:pStyle w:val="ListBullet"/>
        <w:spacing w:after="60"/>
      </w:pPr>
      <w:r>
        <w:rPr>
          <w:color w:val="000000"/>
          <w:sz w:val="22"/>
        </w:rPr>
        <w:t>Weekly Meetings — 7-day cycles miss the 48-hour intervention window</w:t>
      </w:r>
    </w:p>
    <w:p>
      <w:pPr>
        <w:pStyle w:val="ListBullet"/>
        <w:spacing w:after="60"/>
      </w:pPr>
      <w:r>
        <w:rPr>
          <w:color w:val="000000"/>
          <w:sz w:val="22"/>
        </w:rPr>
        <w:t>Paper Assessments — static scoring, no real-time signals</w:t>
      </w:r>
    </w:p>
    <w:p>
      <w:pPr>
        <w:pStyle w:val="ListBullet"/>
        <w:spacing w:after="60"/>
      </w:pPr>
      <w:r>
        <w:rPr>
          <w:color w:val="000000"/>
          <w:sz w:val="22"/>
        </w:rPr>
        <w:t>EHR Dashboards — descriptive, not predictive</w:t>
      </w:r>
    </w:p>
    <w:p>
      <w:pPr>
        <w:pStyle w:val="ListBullet"/>
        <w:spacing w:after="60"/>
      </w:pPr>
      <w:r>
        <w:rPr>
          <w:color w:val="000000"/>
          <w:sz w:val="22"/>
        </w:rPr>
        <w:t>Manual Check-Ins — every missed round is a missed signal</w:t>
      </w:r>
    </w:p>
    <w:p>
      <w:r>
        <w:br w:type="page"/>
      </w:r>
    </w:p>
    <w:p>
      <w:pPr>
        <w:spacing w:before="280" w:after="40"/>
      </w:pPr>
      <w:r>
        <w:rPr>
          <w:b/>
          <w:color w:val="D4159A"/>
          <w:sz w:val="36"/>
        </w:rPr>
        <w:t>3. THE SOLUTION — CENSUSGUARD™</w:t>
      </w:r>
    </w:p>
    <w:p>
      <w:pPr>
        <w:spacing w:before="40" w:after="80"/>
        <w:pBdr>
          <w:bottom w:val="single" w:sz="12" w:space="1" w:color="D4159A"/>
        </w:pBdr>
      </w:pPr>
    </w:p>
    <w:p>
      <w:pPr>
        <w:spacing w:before="200" w:after="40"/>
      </w:pPr>
      <w:r>
        <w:rPr>
          <w:b/>
          <w:color w:val="8844E8"/>
          <w:sz w:val="24"/>
        </w:rPr>
        <w:t>WHAT IT DOES</w:t>
      </w:r>
    </w:p>
    <w:p>
      <w:pPr>
        <w:spacing w:after="100"/>
      </w:pPr>
      <w:r>
        <w:rPr>
          <w:b w:val="0"/>
          <w:i w:val="0"/>
          <w:color w:val="000000"/>
          <w:sz w:val="22"/>
        </w:rPr>
        <w:t>CensusGuard™ is real-time Remote Patient Monitoring for SUD and behavioral health treatment programs. It monitors every patient, every check-in, every behavioral signal — and alerts clinical teams before patients walk out the door.</w:t>
      </w:r>
    </w:p>
    <w:p>
      <w:pPr>
        <w:spacing w:before="200" w:after="40"/>
      </w:pPr>
      <w:r>
        <w:rPr>
          <w:b/>
          <w:color w:val="8844E8"/>
          <w:sz w:val="24"/>
        </w:rPr>
        <w:t>HOW IT WORKS — 4 STEPS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INGEST —</w:t>
      </w:r>
      <w:r>
        <w:rPr>
          <w:color w:val="000000"/>
          <w:sz w:val="22"/>
        </w:rPr>
        <w:t xml:space="preserve"> Connects to EHR via HIPAA-compliant API. Continuous data flow. No manual entry.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SCORE —</w:t>
      </w:r>
      <w:r>
        <w:rPr>
          <w:color w:val="000000"/>
          <w:sz w:val="22"/>
        </w:rPr>
        <w:t xml:space="preserve"> Every BHT check-in triggers a rescore across 29 features. Always current. Never batch.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ALERT —</w:t>
      </w:r>
      <w:r>
        <w:rPr>
          <w:color w:val="000000"/>
          <w:sz w:val="22"/>
        </w:rPr>
        <w:t xml:space="preserve"> Score crosses threshold → immediate priority alert to clinical team while patient is still in the building.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INTERVENE —</w:t>
      </w:r>
      <w:r>
        <w:rPr>
          <w:color w:val="000000"/>
          <w:sz w:val="22"/>
        </w:rPr>
        <w:t xml:space="preserve"> Clinicians act during the CensusGuard™ Window. We give the data. They do what they were trained to do.</w:t>
      </w:r>
    </w:p>
    <w:p>
      <w:pPr>
        <w:spacing w:before="200" w:after="40"/>
      </w:pPr>
      <w:r>
        <w:rPr>
          <w:b/>
          <w:color w:val="8844E8"/>
          <w:sz w:val="24"/>
        </w:rPr>
        <w:t>KEY DIFFERENTIATORS</w:t>
      </w:r>
    </w:p>
    <w:p>
      <w:pPr>
        <w:pStyle w:val="ListBullet"/>
        <w:spacing w:after="60"/>
      </w:pPr>
      <w:r>
        <w:rPr>
          <w:color w:val="000000"/>
          <w:sz w:val="22"/>
        </w:rPr>
        <w:t>Predictive, not descriptive — tells you who is ABOUT to leave</w:t>
      </w:r>
    </w:p>
    <w:p>
      <w:pPr>
        <w:pStyle w:val="ListBullet"/>
        <w:spacing w:after="60"/>
      </w:pPr>
      <w:r>
        <w:rPr>
          <w:color w:val="000000"/>
          <w:sz w:val="22"/>
        </w:rPr>
        <w:t>Real-time event-driven scoring — NEVER batch, NEVER 24-hour</w:t>
      </w:r>
    </w:p>
    <w:p>
      <w:pPr>
        <w:pStyle w:val="ListBullet"/>
        <w:spacing w:after="60"/>
      </w:pPr>
      <w:r>
        <w:rPr>
          <w:color w:val="000000"/>
          <w:sz w:val="22"/>
        </w:rPr>
        <w:t>Zero friction — plugs into existing EHR, no new logins, no retraining</w:t>
      </w:r>
    </w:p>
    <w:p>
      <w:pPr>
        <w:pStyle w:val="ListBullet"/>
        <w:spacing w:after="60"/>
      </w:pPr>
      <w:r>
        <w:rPr>
          <w:color w:val="000000"/>
          <w:sz w:val="22"/>
        </w:rPr>
        <w:t>HIPAA Compliant (NOT HIPAA-Ready)</w:t>
      </w:r>
    </w:p>
    <w:p>
      <w:pPr>
        <w:pStyle w:val="ListBullet"/>
        <w:spacing w:after="60"/>
      </w:pPr>
      <w:r>
        <w:rPr>
          <w:color w:val="000000"/>
          <w:sz w:val="22"/>
        </w:rPr>
        <w:t>Infrastructure: GCP Vertex AI · Kipu EHR (41 APIs)</w:t>
      </w:r>
    </w:p>
    <w:p>
      <w:pPr>
        <w:spacing w:before="200" w:after="40"/>
      </w:pPr>
      <w:r>
        <w:rPr>
          <w:b/>
          <w:color w:val="D4159A"/>
          <w:sz w:val="24"/>
        </w:rPr>
        <w:t>PRODUCT FEATURES (PUBLIC-FACING — DON'T REVEAL THE HOW)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Medication Adherence Monitoring —</w:t>
      </w:r>
      <w:r>
        <w:rPr>
          <w:color w:val="000000"/>
          <w:sz w:val="22"/>
        </w:rPr>
        <w:t xml:space="preserve"> tracks MAR patterns, flags when consistency breaks down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Mood &amp; Behavioral Shift Detection —</w:t>
      </w:r>
      <w:r>
        <w:rPr>
          <w:color w:val="000000"/>
          <w:sz w:val="22"/>
        </w:rPr>
        <w:t xml:space="preserve"> catches documented interaction pattern changes before behavior escalates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Sleep Pattern Analysis —</w:t>
      </w:r>
      <w:r>
        <w:rPr>
          <w:color w:val="000000"/>
          <w:sz w:val="22"/>
        </w:rPr>
        <w:t xml:space="preserve"> surfaces sleep disruption from existing clinical documentation, no wearables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Social Isolation Indicators —</w:t>
      </w:r>
      <w:r>
        <w:rPr>
          <w:color w:val="000000"/>
          <w:sz w:val="22"/>
        </w:rPr>
        <w:t xml:space="preserve"> withdrawal from group activity and peer interaction is tracked and weighted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Unit Cohesion Tracking —</w:t>
      </w:r>
      <w:r>
        <w:rPr>
          <w:color w:val="000000"/>
          <w:sz w:val="22"/>
        </w:rPr>
        <w:t xml:space="preserve"> monitors cohort health as a whole, not just individual patients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Velocity Intelligence —</w:t>
      </w:r>
      <w:r>
        <w:rPr>
          <w:color w:val="000000"/>
          <w:sz w:val="22"/>
        </w:rPr>
        <w:t xml:space="preserve"> tracks how fast risk is moving, not just where it sits</w:t>
      </w:r>
    </w:p>
    <w:p>
      <w:pPr>
        <w:spacing w:after="100"/>
      </w:pPr>
      <w:r>
        <w:rPr>
          <w:b/>
          <w:i w:val="0"/>
          <w:color w:val="D4159A"/>
          <w:sz w:val="22"/>
        </w:rPr>
        <w:t>DO NOT reveal: scoring thresholds, feature weighting logic, calm-before-storm signal, peer proximity flagging algorithm.</w:t>
      </w:r>
    </w:p>
    <w:p>
      <w:r>
        <w:br w:type="page"/>
      </w:r>
    </w:p>
    <w:p>
      <w:pPr>
        <w:spacing w:before="280" w:after="40"/>
      </w:pPr>
      <w:r>
        <w:rPr>
          <w:b/>
          <w:color w:val="D4159A"/>
          <w:sz w:val="36"/>
        </w:rPr>
        <w:t>4. THE MODEL &amp; TECHNOLOGY</w:t>
      </w:r>
    </w:p>
    <w:p>
      <w:pPr>
        <w:spacing w:before="40" w:after="80"/>
        <w:pBdr>
          <w:bottom w:val="single" w:sz="12" w:space="1" w:color="D4159A"/>
        </w:pBdr>
      </w:pPr>
    </w:p>
    <w:p>
      <w:pPr>
        <w:spacing w:before="200" w:after="40"/>
      </w:pPr>
      <w:r>
        <w:rPr>
          <w:b/>
          <w:color w:val="D4159A"/>
          <w:sz w:val="24"/>
        </w:rPr>
        <w:t>MODEL SPECS — NEVER DEVIATE FROM THESE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Model:</w:t>
      </w:r>
      <w:r>
        <w:rPr>
          <w:color w:val="000000"/>
          <w:sz w:val="22"/>
        </w:rPr>
        <w:t xml:space="preserve"> Gradient Boosting Classifier v3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AUC-ROC:</w:t>
      </w:r>
      <w:r>
        <w:rPr>
          <w:color w:val="000000"/>
          <w:sz w:val="22"/>
        </w:rPr>
        <w:t xml:space="preserve"> 86.5% — USE THIS NUMBER ONLY. Confirmed by Kourtney.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Training data:</w:t>
      </w:r>
      <w:r>
        <w:rPr>
          <w:color w:val="000000"/>
          <w:sz w:val="22"/>
        </w:rPr>
        <w:t xml:space="preserve"> 952,358 SAMHSA TEDS 2023 federal patient episodes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Features:</w:t>
      </w:r>
      <w:r>
        <w:rPr>
          <w:color w:val="000000"/>
          <w:sz w:val="22"/>
        </w:rPr>
        <w:t xml:space="preserve"> 29 weighted clinical features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Scoring:</w:t>
      </w:r>
      <w:r>
        <w:rPr>
          <w:color w:val="000000"/>
          <w:sz w:val="22"/>
        </w:rPr>
        <w:t xml:space="preserve"> Real-time event-driven on every BHT check-in — never batch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Infrastructure:</w:t>
      </w:r>
      <w:r>
        <w:rPr>
          <w:color w:val="000000"/>
          <w:sz w:val="22"/>
        </w:rPr>
        <w:t xml:space="preserve"> HIPAA-compliant GCP Vertex AI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EHR Integration:</w:t>
      </w:r>
      <w:r>
        <w:rPr>
          <w:color w:val="000000"/>
          <w:sz w:val="22"/>
        </w:rPr>
        <w:t xml:space="preserve"> Kipu EHR (41 APIs)</w:t>
      </w:r>
    </w:p>
    <w:p>
      <w:pPr>
        <w:spacing w:before="200" w:after="40"/>
      </w:pPr>
      <w:r>
        <w:rPr>
          <w:b/>
          <w:color w:val="8844E8"/>
          <w:sz w:val="24"/>
        </w:rPr>
        <w:t>TOP PREDICTIVE FEATURES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Substance Type</w:t>
      </w:r>
      <w:r>
        <w:rPr>
          <w:color w:val="000000"/>
          <w:sz w:val="22"/>
        </w:rPr>
        <w:t xml:space="preserve"> — 27.9%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Level of Care</w:t>
      </w:r>
      <w:r>
        <w:rPr>
          <w:color w:val="000000"/>
          <w:sz w:val="22"/>
        </w:rPr>
        <w:t xml:space="preserve"> — 27.5%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Length of Stay</w:t>
      </w:r>
      <w:r>
        <w:rPr>
          <w:color w:val="000000"/>
          <w:sz w:val="22"/>
        </w:rPr>
        <w:t xml:space="preserve"> — 26.9%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Prior Treatment Count</w:t>
      </w:r>
      <w:r>
        <w:rPr>
          <w:color w:val="000000"/>
          <w:sz w:val="22"/>
        </w:rPr>
        <w:t xml:space="preserve"> — 8.2%</w:t>
      </w:r>
    </w:p>
    <w:p>
      <w:pPr>
        <w:pStyle w:val="ListBullet"/>
        <w:spacing w:after="60"/>
      </w:pPr>
      <w:r>
        <w:rPr>
          <w:color w:val="000000"/>
          <w:sz w:val="22"/>
        </w:rPr>
        <w:t>+ 25 additional weighted clinical features</w:t>
      </w:r>
    </w:p>
    <w:p>
      <w:pPr>
        <w:spacing w:before="200" w:after="40"/>
      </w:pPr>
      <w:r>
        <w:rPr>
          <w:b/>
          <w:color w:val="8844E8"/>
          <w:sz w:val="24"/>
        </w:rPr>
        <w:t>RISK TIERS</w:t>
      </w:r>
    </w:p>
    <w:p>
      <w:pPr>
        <w:pStyle w:val="ListBullet"/>
        <w:spacing w:after="60"/>
      </w:pPr>
      <w:r>
        <w:rPr>
          <w:color w:val="000000"/>
          <w:sz w:val="22"/>
        </w:rPr>
        <w:t>LOW — Score 0–39</w:t>
      </w:r>
    </w:p>
    <w:p>
      <w:pPr>
        <w:pStyle w:val="ListBullet"/>
        <w:spacing w:after="60"/>
      </w:pPr>
      <w:r>
        <w:rPr>
          <w:color w:val="000000"/>
          <w:sz w:val="22"/>
        </w:rPr>
        <w:t>MODERATE — Score 40–59</w:t>
      </w:r>
    </w:p>
    <w:p>
      <w:pPr>
        <w:pStyle w:val="ListBullet"/>
        <w:spacing w:after="60"/>
      </w:pPr>
      <w:r>
        <w:rPr>
          <w:color w:val="000000"/>
          <w:sz w:val="22"/>
        </w:rPr>
        <w:t>HIGH — Score 60–79</w:t>
      </w:r>
    </w:p>
    <w:p>
      <w:pPr>
        <w:pStyle w:val="ListBullet"/>
        <w:spacing w:after="60"/>
      </w:pPr>
      <w:r>
        <w:rPr>
          <w:color w:val="000000"/>
          <w:sz w:val="22"/>
        </w:rPr>
        <w:t>CRITICAL — Score 80–100</w:t>
      </w:r>
    </w:p>
    <w:p>
      <w:pPr>
        <w:spacing w:before="200" w:after="40"/>
      </w:pPr>
      <w:r>
        <w:rPr>
          <w:b/>
          <w:color w:val="8844E8"/>
          <w:sz w:val="24"/>
        </w:rPr>
        <w:t>KEY CLINICAL SIGNALS (INTERNAL ONLY)</w:t>
      </w:r>
    </w:p>
    <w:p>
      <w:pPr>
        <w:pStyle w:val="ListBullet"/>
        <w:spacing w:after="60"/>
      </w:pPr>
      <w:r>
        <w:rPr>
          <w:color w:val="000000"/>
          <w:sz w:val="22"/>
        </w:rPr>
        <w:t>Cliff Windows: Day 8–14 (Detox), Day 15–21 (Residential), Day 35+ (PHP)</w:t>
      </w:r>
    </w:p>
    <w:p>
      <w:pPr>
        <w:pStyle w:val="ListBullet"/>
        <w:spacing w:after="60"/>
      </w:pPr>
      <w:r>
        <w:rPr>
          <w:color w:val="000000"/>
          <w:sz w:val="22"/>
        </w:rPr>
        <w:t>3rd admission = auto HIGH tier — 83% dropout rate</w:t>
      </w:r>
    </w:p>
    <w:p>
      <w:pPr>
        <w:pStyle w:val="ListBullet"/>
        <w:spacing w:after="60"/>
      </w:pPr>
      <w:r>
        <w:rPr>
          <w:color w:val="000000"/>
          <w:sz w:val="22"/>
        </w:rPr>
        <w:t>Female + Non-rx Methadone = 55.4% dropout risk</w:t>
      </w:r>
    </w:p>
    <w:p>
      <w:pPr>
        <w:pStyle w:val="ListBullet"/>
        <w:spacing w:after="60"/>
      </w:pPr>
      <w:r>
        <w:rPr>
          <w:color w:val="000000"/>
          <w:sz w:val="22"/>
        </w:rPr>
        <w:t>Calm-before-storm: HIGH → MODERATE with no intervention = pre-elopement signal (validation pending — do NOT pitch as headline)</w:t>
      </w:r>
    </w:p>
    <w:p>
      <w:pPr>
        <w:pStyle w:val="ListBullet"/>
        <w:spacing w:after="60"/>
      </w:pPr>
      <w:r>
        <w:rPr>
          <w:color w:val="000000"/>
          <w:sz w:val="22"/>
        </w:rPr>
        <w:t>Peer proximity: roommate flagging for known high-risk peer relationships</w:t>
      </w:r>
    </w:p>
    <w:p>
      <w:r>
        <w:br w:type="page"/>
      </w:r>
    </w:p>
    <w:p>
      <w:pPr>
        <w:spacing w:before="280" w:after="40"/>
      </w:pPr>
      <w:r>
        <w:rPr>
          <w:b/>
          <w:color w:val="D4159A"/>
          <w:sz w:val="36"/>
        </w:rPr>
        <w:t>5. MARKET OPPORTUNITY</w:t>
      </w:r>
    </w:p>
    <w:p>
      <w:pPr>
        <w:spacing w:before="40" w:after="80"/>
        <w:pBdr>
          <w:bottom w:val="single" w:sz="12" w:space="1" w:color="D4159A"/>
        </w:pBdr>
      </w:pPr>
    </w:p>
    <w:p>
      <w:pPr>
        <w:spacing w:before="200" w:after="40"/>
      </w:pPr>
      <w:r>
        <w:rPr>
          <w:b/>
          <w:color w:val="8844E8"/>
          <w:sz w:val="24"/>
        </w:rPr>
        <w:t>MARKET SIZE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RPM Market (Total):</w:t>
      </w:r>
      <w:r>
        <w:rPr>
          <w:color w:val="000000"/>
          <w:sz w:val="22"/>
        </w:rPr>
        <w:t xml:space="preserve"> $175B+ — growing 20%+ YoY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TAM:</w:t>
      </w:r>
      <w:r>
        <w:rPr>
          <w:color w:val="000000"/>
          <w:sz w:val="22"/>
        </w:rPr>
        <w:t xml:space="preserve"> $42B — Behavioral Health Technology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SAM:</w:t>
      </w:r>
      <w:r>
        <w:rPr>
          <w:color w:val="000000"/>
          <w:sz w:val="22"/>
        </w:rPr>
        <w:t xml:space="preserve"> $8.5B — SUD Treatment Facilities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SOM:</w:t>
      </w:r>
      <w:r>
        <w:rPr>
          <w:color w:val="000000"/>
          <w:sz w:val="22"/>
        </w:rPr>
        <w:t xml:space="preserve"> $500M — US SUD Facilities, Year 1–3</w:t>
      </w:r>
    </w:p>
    <w:p>
      <w:pPr>
        <w:spacing w:before="200" w:after="40"/>
      </w:pPr>
      <w:r>
        <w:rPr>
          <w:b/>
          <w:color w:val="8844E8"/>
          <w:sz w:val="24"/>
        </w:rPr>
        <w:t>THE WHITESPACE</w:t>
      </w:r>
    </w:p>
    <w:p>
      <w:pPr>
        <w:spacing w:after="100"/>
      </w:pPr>
      <w:r>
        <w:rPr>
          <w:b w:val="0"/>
          <w:i w:val="0"/>
          <w:color w:val="000000"/>
          <w:sz w:val="22"/>
        </w:rPr>
        <w:t>Cardiology, diabetes, and pulmonology have mature RPM products. Behavioral health — the largest and fastest-growing chronic disease category — has almost none. CensusGuard enters a market that is both massive and nearly empty.</w:t>
      </w:r>
    </w:p>
    <w:p>
      <w:pPr>
        <w:spacing w:before="200" w:after="40"/>
      </w:pPr>
      <w:r>
        <w:rPr>
          <w:b/>
          <w:color w:val="8844E8"/>
          <w:sz w:val="24"/>
        </w:rPr>
        <w:t>DUAL CUSTOMER: FACILITIES + PAYERS</w:t>
      </w:r>
    </w:p>
    <w:p>
      <w:pPr>
        <w:spacing w:after="100"/>
      </w:pPr>
      <w:r>
        <w:rPr>
          <w:b/>
          <w:i w:val="0"/>
          <w:color w:val="000000"/>
          <w:sz w:val="22"/>
        </w:rPr>
        <w:t>FACILITIES:</w:t>
      </w:r>
    </w:p>
    <w:p>
      <w:pPr>
        <w:spacing w:after="100"/>
      </w:pPr>
      <w:r>
        <w:rPr>
          <w:b w:val="0"/>
          <w:i w:val="0"/>
          <w:color w:val="000000"/>
          <w:sz w:val="22"/>
        </w:rPr>
        <w:t>Clinical Directors, Medical Directors, CFOs, Operators. Retain more patients, recover more revenue, faster time to adoption with zero new hardware.</w:t>
      </w:r>
    </w:p>
    <w:p>
      <w:pPr>
        <w:spacing w:after="100"/>
      </w:pPr>
      <w:r>
        <w:rPr>
          <w:b/>
          <w:i w:val="0"/>
          <w:color w:val="000000"/>
          <w:sz w:val="22"/>
        </w:rPr>
        <w:t>PAYERS (Insurance Companies):</w:t>
      </w:r>
    </w:p>
    <w:p>
      <w:pPr>
        <w:spacing w:after="100"/>
      </w:pPr>
      <w:r>
        <w:rPr>
          <w:b w:val="0"/>
          <w:i w:val="0"/>
          <w:color w:val="000000"/>
          <w:sz w:val="22"/>
        </w:rPr>
        <w:t>VP Innovation, Medical Directors, Value-Based Care leads. Every avoided readmission saves $35,000+. Target payers: Aetna, Magellan, Optum, Evernorth.</w:t>
      </w:r>
    </w:p>
    <w:p>
      <w:r>
        <w:br w:type="page"/>
      </w:r>
    </w:p>
    <w:p>
      <w:pPr>
        <w:spacing w:before="280" w:after="40"/>
      </w:pPr>
      <w:r>
        <w:rPr>
          <w:b/>
          <w:color w:val="D4159A"/>
          <w:sz w:val="36"/>
        </w:rPr>
        <w:t>6. BUSINESS MODEL &amp; PRICING</w:t>
      </w:r>
    </w:p>
    <w:p>
      <w:pPr>
        <w:spacing w:before="40" w:after="80"/>
        <w:pBdr>
          <w:bottom w:val="single" w:sz="12" w:space="1" w:color="D4159A"/>
        </w:pBdr>
      </w:pPr>
    </w:p>
    <w:p>
      <w:pPr>
        <w:spacing w:before="200" w:after="40"/>
      </w:pPr>
      <w:r>
        <w:rPr>
          <w:b/>
          <w:color w:val="8844E8"/>
          <w:sz w:val="24"/>
        </w:rPr>
        <w:t>REVENUE MODEL</w:t>
      </w:r>
    </w:p>
    <w:p>
      <w:pPr>
        <w:pStyle w:val="ListBullet"/>
        <w:spacing w:after="60"/>
      </w:pPr>
      <w:r>
        <w:rPr>
          <w:color w:val="000000"/>
          <w:sz w:val="22"/>
        </w:rPr>
        <w:t>Recurring monthly SaaS subscription</w:t>
      </w:r>
    </w:p>
    <w:p>
      <w:pPr>
        <w:pStyle w:val="ListBullet"/>
        <w:spacing w:after="60"/>
      </w:pPr>
      <w:r>
        <w:rPr>
          <w:color w:val="000000"/>
          <w:sz w:val="22"/>
        </w:rPr>
        <w:t>All tiers include all features — no gating</w:t>
      </w:r>
    </w:p>
    <w:p>
      <w:pPr>
        <w:pStyle w:val="ListBullet"/>
        <w:spacing w:after="60"/>
      </w:pPr>
      <w:r>
        <w:rPr>
          <w:color w:val="000000"/>
          <w:sz w:val="22"/>
        </w:rPr>
        <w:t>Zero new hardware — plugs into existing EHR data</w:t>
      </w:r>
    </w:p>
    <w:p>
      <w:pPr>
        <w:spacing w:before="200" w:after="40"/>
      </w:pPr>
      <w:r>
        <w:rPr>
          <w:b/>
          <w:color w:val="8844E8"/>
          <w:sz w:val="24"/>
        </w:rPr>
        <w:t>PRICING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b/>
                <w:color w:val="D4159A"/>
                <w:sz w:val="22"/>
              </w:rPr>
              <w:t>ESSENTIAL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b/>
                <w:color w:val="8844E8"/>
                <w:sz w:val="22"/>
              </w:rPr>
              <w:t>PROFESSIONAL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b/>
                <w:color w:val="10D8F0"/>
                <w:sz w:val="22"/>
              </w:rPr>
              <w:t>MULTI-SITE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b/>
                <w:sz w:val="30"/>
              </w:rPr>
              <w:t>$3,500/month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b/>
                <w:sz w:val="30"/>
              </w:rPr>
              <w:t>$6,500/month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b/>
                <w:sz w:val="30"/>
              </w:rPr>
              <w:t>$12,000+/month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t>1–30 beds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31–100 beds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100+ beds / multi-location</w:t>
            </w:r>
          </w:p>
        </w:tc>
      </w:tr>
    </w:tbl>
    <w:p/>
    <w:p>
      <w:pPr>
        <w:spacing w:before="200" w:after="40"/>
      </w:pPr>
      <w:r>
        <w:rPr>
          <w:b/>
          <w:color w:val="8844E8"/>
          <w:sz w:val="24"/>
        </w:rPr>
        <w:t>ROI MATH — FACILITY</w:t>
      </w:r>
    </w:p>
    <w:p>
      <w:pPr>
        <w:spacing w:after="100"/>
      </w:pPr>
      <w:r>
        <w:rPr>
          <w:b w:val="0"/>
          <w:i w:val="0"/>
          <w:color w:val="000000"/>
          <w:sz w:val="22"/>
        </w:rPr>
        <w:t>30-bed facility losing 10 patients/month @ $15K avg = $150,000/month lost.</w:t>
      </w:r>
    </w:p>
    <w:p>
      <w:pPr>
        <w:spacing w:after="100"/>
      </w:pPr>
      <w:r>
        <w:rPr>
          <w:b w:val="0"/>
          <w:i w:val="0"/>
          <w:color w:val="000000"/>
          <w:sz w:val="22"/>
        </w:rPr>
        <w:t>CensusGuard Professional = $6,500/month.</w:t>
      </w:r>
    </w:p>
    <w:p>
      <w:pPr>
        <w:spacing w:after="100"/>
      </w:pPr>
      <w:r>
        <w:rPr>
          <w:b/>
          <w:i w:val="0"/>
          <w:color w:val="D4159A"/>
          <w:sz w:val="22"/>
        </w:rPr>
        <w:t>Retain 4 patients → recover $60,000 → 9× ROI minimum.</w:t>
      </w:r>
    </w:p>
    <w:p>
      <w:pPr>
        <w:spacing w:before="200" w:after="40"/>
      </w:pPr>
      <w:r>
        <w:rPr>
          <w:b/>
          <w:color w:val="8844E8"/>
          <w:sz w:val="24"/>
        </w:rPr>
        <w:t>ROI MATH — PAYER</w:t>
      </w:r>
    </w:p>
    <w:p>
      <w:pPr>
        <w:spacing w:after="100"/>
      </w:pPr>
      <w:r>
        <w:rPr>
          <w:b w:val="0"/>
          <w:i w:val="0"/>
          <w:color w:val="000000"/>
          <w:sz w:val="22"/>
        </w:rPr>
        <w:t>Average readmission = $35,000+ in insurer claims.</w:t>
      </w:r>
    </w:p>
    <w:p>
      <w:pPr>
        <w:spacing w:after="100"/>
      </w:pPr>
      <w:r>
        <w:rPr>
          <w:b/>
          <w:i w:val="0"/>
          <w:color w:val="8844E8"/>
          <w:sz w:val="22"/>
        </w:rPr>
        <w:t>Every $1 spent on CensusGuard saves payers $5–$10 in avoided claims.</w:t>
      </w:r>
    </w:p>
    <w:p>
      <w:r>
        <w:br w:type="page"/>
      </w:r>
    </w:p>
    <w:p>
      <w:pPr>
        <w:spacing w:before="280" w:after="40"/>
      </w:pPr>
      <w:r>
        <w:rPr>
          <w:b/>
          <w:color w:val="D4159A"/>
          <w:sz w:val="36"/>
        </w:rPr>
        <w:t>7. TRACTION</w:t>
      </w:r>
    </w:p>
    <w:p>
      <w:pPr>
        <w:spacing w:before="40" w:after="80"/>
        <w:pBdr>
          <w:bottom w:val="single" w:sz="12" w:space="1" w:color="D4159A"/>
        </w:pBdr>
      </w:pPr>
    </w:p>
    <w:p>
      <w:pPr>
        <w:spacing w:before="200" w:after="40"/>
      </w:pPr>
      <w:r>
        <w:rPr>
          <w:b/>
          <w:color w:val="8844E8"/>
          <w:sz w:val="24"/>
        </w:rPr>
        <w:t>BUILT &amp; LIVE</w:t>
      </w:r>
    </w:p>
    <w:p>
      <w:pPr>
        <w:pStyle w:val="ListBullet"/>
        <w:spacing w:after="60"/>
      </w:pPr>
      <w:r>
        <w:rPr>
          <w:color w:val="000000"/>
          <w:sz w:val="22"/>
        </w:rPr>
        <w:t>AnchorPoint Health Systems LLC formed March 2026 — EIN secured, Mercury bank active</w:t>
      </w:r>
    </w:p>
    <w:p>
      <w:pPr>
        <w:pStyle w:val="ListBullet"/>
        <w:spacing w:after="60"/>
      </w:pPr>
      <w:r>
        <w:rPr>
          <w:color w:val="000000"/>
          <w:sz w:val="22"/>
        </w:rPr>
        <w:t>CensusGuard dashboard live (password protected, real patient data)</w:t>
      </w:r>
    </w:p>
    <w:p>
      <w:pPr>
        <w:pStyle w:val="ListBullet"/>
        <w:spacing w:after="60"/>
      </w:pPr>
      <w:r>
        <w:rPr>
          <w:color w:val="000000"/>
          <w:sz w:val="22"/>
        </w:rPr>
        <w:t>Public demo live — 18 simulated patient scenarios, email lead capture gate</w:t>
      </w:r>
    </w:p>
    <w:p>
      <w:pPr>
        <w:pStyle w:val="ListBullet"/>
        <w:spacing w:after="60"/>
      </w:pPr>
      <w:r>
        <w:rPr>
          <w:color w:val="000000"/>
          <w:sz w:val="22"/>
        </w:rPr>
        <w:t>scorePatient backend API deployed and running</w:t>
      </w:r>
    </w:p>
    <w:p>
      <w:pPr>
        <w:pStyle w:val="ListBullet"/>
        <w:spacing w:after="60"/>
      </w:pPr>
      <w:r>
        <w:rPr>
          <w:color w:val="000000"/>
          <w:sz w:val="22"/>
        </w:rPr>
        <w:t>Website: anchorpointhealthsystems.com (Wix — redone by Kourtney April 2026)</w:t>
      </w:r>
    </w:p>
    <w:p>
      <w:pPr>
        <w:pStyle w:val="ListBullet"/>
        <w:spacing w:after="60"/>
      </w:pPr>
      <w:r>
        <w:rPr>
          <w:color w:val="000000"/>
          <w:sz w:val="22"/>
        </w:rPr>
        <w:t>App: anchor-point-marketing-superagent-b56ededc.base44.app</w:t>
      </w:r>
    </w:p>
    <w:p>
      <w:pPr>
        <w:spacing w:before="200" w:after="40"/>
      </w:pPr>
      <w:r>
        <w:rPr>
          <w:b/>
          <w:color w:val="8844E8"/>
          <w:sz w:val="24"/>
        </w:rPr>
        <w:t>TEAM</w:t>
      </w:r>
    </w:p>
    <w:p>
      <w:pPr>
        <w:pStyle w:val="ListBullet"/>
        <w:spacing w:after="60"/>
      </w:pPr>
      <w:r>
        <w:rPr>
          <w:color w:val="000000"/>
          <w:sz w:val="22"/>
        </w:rPr>
        <w:t>Dr. Nixi Cat DO — Chief Clinical Advisor signed April 2026, 0.25% equity, 24-month vesting, no cliff</w:t>
      </w:r>
    </w:p>
    <w:p>
      <w:pPr>
        <w:spacing w:before="200" w:after="40"/>
      </w:pPr>
      <w:r>
        <w:rPr>
          <w:b/>
          <w:color w:val="8844E8"/>
          <w:sz w:val="24"/>
        </w:rPr>
        <w:t>APPLICATIONS SUBMITTED</w:t>
      </w:r>
    </w:p>
    <w:p>
      <w:pPr>
        <w:pStyle w:val="ListBullet"/>
        <w:spacing w:after="60"/>
      </w:pPr>
      <w:r>
        <w:rPr>
          <w:color w:val="000000"/>
          <w:sz w:val="22"/>
        </w:rPr>
        <w:t>NVIDIA Inception Program</w:t>
      </w:r>
    </w:p>
    <w:p>
      <w:pPr>
        <w:pStyle w:val="ListBullet"/>
        <w:spacing w:after="60"/>
      </w:pPr>
      <w:r>
        <w:rPr>
          <w:color w:val="000000"/>
          <w:sz w:val="22"/>
        </w:rPr>
        <w:t>Snowflake Accelerate</w:t>
      </w:r>
    </w:p>
    <w:p>
      <w:pPr>
        <w:pStyle w:val="ListBullet"/>
        <w:spacing w:after="60"/>
      </w:pPr>
      <w:r>
        <w:rPr>
          <w:color w:val="000000"/>
          <w:sz w:val="22"/>
        </w:rPr>
        <w:t>i2E Concept Fund (contact: Srijita Ghosh)</w:t>
      </w:r>
    </w:p>
    <w:p>
      <w:pPr>
        <w:pStyle w:val="ListBullet"/>
        <w:spacing w:after="60"/>
      </w:pPr>
      <w:r>
        <w:rPr>
          <w:color w:val="000000"/>
          <w:sz w:val="22"/>
        </w:rPr>
        <w:t>OK Catalyst</w:t>
      </w:r>
    </w:p>
    <w:p>
      <w:pPr>
        <w:pStyle w:val="ListBullet"/>
        <w:spacing w:after="60"/>
      </w:pPr>
      <w:r>
        <w:rPr>
          <w:color w:val="000000"/>
          <w:sz w:val="22"/>
        </w:rPr>
        <w:t>gener8tor gBETA</w:t>
      </w:r>
    </w:p>
    <w:p>
      <w:pPr>
        <w:spacing w:before="200" w:after="40"/>
      </w:pPr>
      <w:r>
        <w:rPr>
          <w:b/>
          <w:color w:val="8844E8"/>
          <w:sz w:val="24"/>
        </w:rPr>
        <w:t>CONFERENCES &amp; EVENTS</w:t>
      </w:r>
    </w:p>
    <w:p>
      <w:pPr>
        <w:pStyle w:val="ListBullet"/>
        <w:spacing w:after="60"/>
      </w:pPr>
      <w:r>
        <w:rPr>
          <w:color w:val="000000"/>
          <w:sz w:val="22"/>
        </w:rPr>
        <w:t>OCAST Innovation Expo — April 21–22, 2026</w:t>
      </w:r>
    </w:p>
    <w:p>
      <w:pPr>
        <w:pStyle w:val="ListBullet"/>
        <w:spacing w:after="60"/>
      </w:pPr>
      <w:r>
        <w:rPr>
          <w:color w:val="000000"/>
          <w:sz w:val="22"/>
        </w:rPr>
        <w:t>Venture Summit West — June 2026</w:t>
      </w:r>
    </w:p>
    <w:p>
      <w:pPr>
        <w:spacing w:before="200" w:after="40"/>
      </w:pPr>
      <w:r>
        <w:rPr>
          <w:b/>
          <w:color w:val="8844E8"/>
          <w:sz w:val="24"/>
        </w:rPr>
        <w:t>TARGET INVESTORS</w:t>
      </w:r>
    </w:p>
    <w:p>
      <w:pPr>
        <w:spacing w:after="100"/>
      </w:pPr>
      <w:r>
        <w:rPr>
          <w:b w:val="0"/>
          <w:i w:val="0"/>
          <w:color w:val="000000"/>
          <w:sz w:val="22"/>
        </w:rPr>
        <w:t>SeedStep Angels, 2048 Ventures, Afore Capital, Hustle Fund, Outlander VC, Behind Genius Ventures</w:t>
      </w:r>
    </w:p>
    <w:p>
      <w:pPr>
        <w:spacing w:before="200" w:after="40"/>
      </w:pPr>
      <w:r>
        <w:rPr>
          <w:b/>
          <w:color w:val="8844E8"/>
          <w:sz w:val="24"/>
        </w:rPr>
        <w:t>TARGET GRANTS</w:t>
      </w:r>
    </w:p>
    <w:p>
      <w:pPr>
        <w:pStyle w:val="ListBullet"/>
        <w:spacing w:after="60"/>
      </w:pPr>
      <w:r>
        <w:rPr>
          <w:color w:val="000000"/>
          <w:sz w:val="22"/>
        </w:rPr>
        <w:t>OCAST FY27 (July 2026)</w:t>
      </w:r>
    </w:p>
    <w:p>
      <w:pPr>
        <w:pStyle w:val="ListBullet"/>
        <w:spacing w:after="60"/>
      </w:pPr>
      <w:r>
        <w:rPr>
          <w:color w:val="000000"/>
          <w:sz w:val="22"/>
        </w:rPr>
        <w:t>NIH SUD Tech Grant (June 2026)</w:t>
      </w:r>
    </w:p>
    <w:p>
      <w:pPr>
        <w:pStyle w:val="ListBullet"/>
        <w:spacing w:after="60"/>
      </w:pPr>
      <w:r>
        <w:rPr>
          <w:color w:val="000000"/>
          <w:sz w:val="22"/>
        </w:rPr>
        <w:t>NSF SBIR</w:t>
      </w:r>
    </w:p>
    <w:p>
      <w:r>
        <w:br w:type="page"/>
      </w:r>
    </w:p>
    <w:p>
      <w:pPr>
        <w:spacing w:before="280" w:after="40"/>
      </w:pPr>
      <w:r>
        <w:rPr>
          <w:b/>
          <w:color w:val="D4159A"/>
          <w:sz w:val="36"/>
        </w:rPr>
        <w:t>8. THE TEAM</w:t>
      </w:r>
    </w:p>
    <w:p>
      <w:pPr>
        <w:spacing w:before="40" w:after="80"/>
        <w:pBdr>
          <w:bottom w:val="single" w:sz="12" w:space="1" w:color="D4159A"/>
        </w:pBdr>
      </w:pPr>
    </w:p>
    <w:p>
      <w:pPr>
        <w:spacing w:before="200" w:after="40"/>
      </w:pPr>
      <w:r>
        <w:rPr>
          <w:b/>
          <w:color w:val="D4159A"/>
          <w:sz w:val="24"/>
        </w:rPr>
        <w:t>KOURTNEY RHODES — FOUNDER &amp; CEO</w:t>
      </w:r>
    </w:p>
    <w:p>
      <w:pPr>
        <w:spacing w:after="100"/>
      </w:pPr>
      <w:r>
        <w:rPr>
          <w:b w:val="0"/>
          <w:i w:val="0"/>
          <w:color w:val="000000"/>
          <w:sz w:val="22"/>
        </w:rPr>
        <w:t>Built CensusGuard from lived experience inside the behavioral health system — as a patient, a survivor, and a single mom who rebuilt her entire life from scratch.</w:t>
      </w:r>
    </w:p>
    <w:p>
      <w:pPr>
        <w:pStyle w:val="ListBullet"/>
        <w:spacing w:after="60"/>
      </w:pPr>
      <w:r>
        <w:rPr>
          <w:color w:val="000000"/>
          <w:sz w:val="22"/>
        </w:rPr>
        <w:t>Duke University AI Product Management Certificate (2024–2025)</w:t>
      </w:r>
    </w:p>
    <w:p>
      <w:pPr>
        <w:pStyle w:val="ListBullet"/>
        <w:spacing w:after="60"/>
      </w:pPr>
      <w:r>
        <w:rPr>
          <w:color w:val="000000"/>
          <w:sz w:val="22"/>
        </w:rPr>
        <w:t>UPenn Data Analytics / SQL / Python Certificate</w:t>
      </w:r>
    </w:p>
    <w:p>
      <w:pPr>
        <w:pStyle w:val="ListBullet"/>
        <w:spacing w:after="60"/>
      </w:pPr>
      <w:r>
        <w:rPr>
          <w:color w:val="000000"/>
          <w:sz w:val="22"/>
        </w:rPr>
        <w:t>Fraud investigation — Bank of America (100% audit quality)</w:t>
      </w:r>
    </w:p>
    <w:p>
      <w:pPr>
        <w:pStyle w:val="ListBullet"/>
        <w:spacing w:after="60"/>
      </w:pPr>
      <w:r>
        <w:rPr>
          <w:color w:val="000000"/>
          <w:sz w:val="22"/>
        </w:rPr>
        <w:t>HIPAA-regulated healthcare operations experience</w:t>
      </w:r>
    </w:p>
    <w:p>
      <w:pPr>
        <w:pStyle w:val="ListBullet"/>
        <w:spacing w:after="60"/>
      </w:pPr>
      <w:r>
        <w:rPr>
          <w:color w:val="000000"/>
          <w:sz w:val="22"/>
        </w:rPr>
        <w:t>Lived experience in addiction recovery — this is personal, and that's exactly why it works</w:t>
      </w:r>
    </w:p>
    <w:p>
      <w:pPr>
        <w:spacing w:after="100"/>
      </w:pPr>
      <w:r>
        <w:rPr>
          <w:b w:val="0"/>
          <w:i w:val="0"/>
          <w:color w:val="D4159A"/>
          <w:sz w:val="22"/>
        </w:rPr>
        <w:t>Email: Kourtney@anchorpointhealthsystems.com</w:t>
      </w:r>
    </w:p>
    <w:p>
      <w:pPr>
        <w:spacing w:before="200" w:after="40"/>
      </w:pPr>
      <w:r>
        <w:rPr>
          <w:b/>
          <w:color w:val="8844E8"/>
          <w:sz w:val="24"/>
        </w:rPr>
        <w:t>DR. NIXI CAT, DO — CHIEF CLINICAL ADVISOR</w:t>
      </w:r>
    </w:p>
    <w:p>
      <w:pPr>
        <w:spacing w:after="100"/>
      </w:pPr>
      <w:r>
        <w:rPr>
          <w:b w:val="0"/>
          <w:i w:val="0"/>
          <w:color w:val="000000"/>
          <w:sz w:val="22"/>
        </w:rPr>
        <w:t>Family Medicine physician and addiction medicine specialist. Expertise: psychiatric comorbidities, pain management, medication-assisted therapy, social determinants of health.</w:t>
      </w:r>
    </w:p>
    <w:p>
      <w:pPr>
        <w:pStyle w:val="ListBullet"/>
        <w:spacing w:after="60"/>
      </w:pPr>
      <w:r>
        <w:rPr>
          <w:color w:val="000000"/>
          <w:sz w:val="22"/>
        </w:rPr>
        <w:t>Signed April 2026</w:t>
      </w:r>
    </w:p>
    <w:p>
      <w:pPr>
        <w:pStyle w:val="ListBullet"/>
        <w:spacing w:after="60"/>
      </w:pPr>
      <w:r>
        <w:rPr>
          <w:color w:val="000000"/>
          <w:sz w:val="22"/>
        </w:rPr>
        <w:t>0.25% equity, 24-month vesting, no cliff</w:t>
      </w:r>
    </w:p>
    <w:p>
      <w:pPr>
        <w:spacing w:after="100"/>
      </w:pPr>
      <w:r>
        <w:rPr>
          <w:b w:val="0"/>
          <w:i w:val="0"/>
          <w:color w:val="8844E8"/>
          <w:sz w:val="22"/>
        </w:rPr>
        <w:t>Email: drcat@anchorpointhealthsystems.com</w:t>
      </w:r>
    </w:p>
    <w:p>
      <w:r>
        <w:br w:type="page"/>
      </w:r>
    </w:p>
    <w:p>
      <w:pPr>
        <w:spacing w:before="280" w:after="40"/>
      </w:pPr>
      <w:r>
        <w:rPr>
          <w:b/>
          <w:color w:val="D4159A"/>
          <w:sz w:val="36"/>
        </w:rPr>
        <w:t>9. THE ASK</w:t>
      </w:r>
    </w:p>
    <w:p>
      <w:pPr>
        <w:spacing w:before="40" w:after="80"/>
        <w:pBdr>
          <w:bottom w:val="single" w:sz="12" w:space="1" w:color="D4159A"/>
        </w:pBdr>
      </w:pPr>
    </w:p>
    <w:p>
      <w:pPr>
        <w:spacing w:before="200" w:after="40"/>
      </w:pPr>
      <w:r>
        <w:rPr>
          <w:b/>
          <w:color w:val="8844E8"/>
          <w:sz w:val="24"/>
        </w:rPr>
        <w:t>RAISE</w:t>
      </w:r>
    </w:p>
    <w:p>
      <w:pPr>
        <w:spacing w:after="100"/>
      </w:pPr>
      <w:r>
        <w:rPr>
          <w:b/>
          <w:i w:val="0"/>
          <w:color w:val="D4159A"/>
          <w:sz w:val="36"/>
        </w:rPr>
        <w:t>$500,000 Pre-Seed</w:t>
      </w:r>
    </w:p>
    <w:p>
      <w:pPr>
        <w:spacing w:after="100"/>
      </w:pPr>
      <w:r>
        <w:rPr>
          <w:b w:val="0"/>
          <w:i/>
          <w:color w:val="777777"/>
          <w:sz w:val="22"/>
        </w:rPr>
        <w:t>SAFE Note  ·  Valuation Cap $8–10M</w:t>
      </w:r>
    </w:p>
    <w:p>
      <w:pPr>
        <w:spacing w:before="200" w:after="40"/>
      </w:pPr>
      <w:r>
        <w:rPr>
          <w:b/>
          <w:color w:val="8844E8"/>
          <w:sz w:val="24"/>
        </w:rPr>
        <w:t>USE OF FUNDS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Product Development —</w:t>
      </w:r>
      <w:r>
        <w:rPr>
          <w:color w:val="000000"/>
          <w:sz w:val="22"/>
        </w:rPr>
        <w:t xml:space="preserve"> Complete EHR integration, harden scoring engine, pilot onboarding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Pilot Launch —</w:t>
      </w:r>
      <w:r>
        <w:rPr>
          <w:color w:val="000000"/>
          <w:sz w:val="22"/>
        </w:rPr>
        <w:t xml:space="preserve"> Onboard 2–3 signed facilities, generate real-world outcomes data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Team —</w:t>
      </w:r>
      <w:r>
        <w:rPr>
          <w:color w:val="000000"/>
          <w:sz w:val="22"/>
        </w:rPr>
        <w:t xml:space="preserve"> First clinical success hire, part-time engineering support</w:t>
      </w:r>
    </w:p>
    <w:p>
      <w:pPr>
        <w:pStyle w:val="ListBullet"/>
        <w:spacing w:after="60"/>
      </w:pPr>
      <w:r>
        <w:rPr>
          <w:b/>
          <w:color w:val="D4159A"/>
          <w:sz w:val="22"/>
        </w:rPr>
        <w:t>Marketing &amp; Sales —</w:t>
      </w:r>
      <w:r>
        <w:rPr>
          <w:color w:val="000000"/>
          <w:sz w:val="22"/>
        </w:rPr>
        <w:t xml:space="preserve"> Facility outreach, conference presence, payer partnerships</w:t>
      </w:r>
    </w:p>
    <w:p>
      <w:pPr>
        <w:spacing w:before="200" w:after="40"/>
      </w:pPr>
      <w:r>
        <w:rPr>
          <w:b/>
          <w:color w:val="D4159A"/>
          <w:sz w:val="24"/>
        </w:rPr>
        <w:t>PITCH RULES — NEVER VIOLATE</w:t>
      </w:r>
    </w:p>
    <w:p>
      <w:pPr>
        <w:pStyle w:val="ListBullet"/>
        <w:spacing w:after="60"/>
      </w:pPr>
      <w:r>
        <w:rPr>
          <w:color w:val="000000"/>
          <w:sz w:val="22"/>
        </w:rPr>
        <w:t>ALWAYS lead with human story BEFORE data</w:t>
      </w:r>
    </w:p>
    <w:p>
      <w:pPr>
        <w:pStyle w:val="ListBullet"/>
        <w:spacing w:after="60"/>
      </w:pPr>
      <w:r>
        <w:rPr>
          <w:color w:val="000000"/>
          <w:sz w:val="22"/>
        </w:rPr>
        <w:t>ALWAYS say REAL-TIME — every single time</w:t>
      </w:r>
    </w:p>
    <w:p>
      <w:pPr>
        <w:pStyle w:val="ListBullet"/>
        <w:spacing w:after="60"/>
      </w:pPr>
      <w:r>
        <w:rPr>
          <w:color w:val="000000"/>
          <w:sz w:val="22"/>
        </w:rPr>
        <w:t>ALWAYS say HIPAA Compliant — NOT 'HIPAA-Ready'</w:t>
      </w:r>
    </w:p>
    <w:p>
      <w:pPr>
        <w:pStyle w:val="ListBullet"/>
        <w:spacing w:after="60"/>
      </w:pPr>
      <w:r>
        <w:rPr>
          <w:color w:val="000000"/>
          <w:sz w:val="22"/>
        </w:rPr>
        <w:t>USE 86.5% AUC-ROC — confirmed by Kourtney. No other number.</w:t>
      </w:r>
    </w:p>
    <w:p>
      <w:pPr>
        <w:pStyle w:val="ListBullet"/>
        <w:spacing w:after="60"/>
      </w:pPr>
      <w:r>
        <w:rPr>
          <w:color w:val="000000"/>
          <w:sz w:val="22"/>
        </w:rPr>
        <w:t>POSITION as Remote Patient Monitoring — NOT relapse prevention</w:t>
      </w:r>
    </w:p>
    <w:p>
      <w:pPr>
        <w:pStyle w:val="ListBullet"/>
        <w:spacing w:after="60"/>
      </w:pPr>
      <w:r>
        <w:rPr>
          <w:color w:val="000000"/>
          <w:sz w:val="22"/>
        </w:rPr>
        <w:t>NEVER say batch, 24-hour, nightly, or daily prediction</w:t>
      </w:r>
    </w:p>
    <w:p>
      <w:pPr>
        <w:pStyle w:val="ListBullet"/>
        <w:spacing w:after="60"/>
      </w:pPr>
      <w:r>
        <w:rPr>
          <w:color w:val="000000"/>
          <w:sz w:val="22"/>
        </w:rPr>
        <w:t>NEVER say 'clinically validated' — we are pre-pilot</w:t>
      </w:r>
    </w:p>
    <w:p>
      <w:pPr>
        <w:pStyle w:val="ListBullet"/>
        <w:spacing w:after="60"/>
      </w:pPr>
      <w:r>
        <w:rPr>
          <w:color w:val="000000"/>
          <w:sz w:val="22"/>
        </w:rPr>
        <w:t>NEVER pitch calm-before-storm as a headline — validation pending</w:t>
      </w:r>
    </w:p>
    <w:p>
      <w:pPr>
        <w:pStyle w:val="ListBullet"/>
        <w:spacing w:after="60"/>
      </w:pPr>
      <w:r>
        <w:rPr>
          <w:color w:val="000000"/>
          <w:sz w:val="22"/>
        </w:rPr>
        <w:t>NEVER mention John Lyons or Cedar Oak</w:t>
      </w:r>
    </w:p>
    <w:p>
      <w:pPr>
        <w:pStyle w:val="ListBullet"/>
        <w:spacing w:after="60"/>
      </w:pPr>
      <w:r>
        <w:rPr>
          <w:color w:val="000000"/>
          <w:sz w:val="22"/>
        </w:rPr>
        <w:t>USE $500K ONLY — never mix with other amounts</w:t>
      </w:r>
    </w:p>
    <w:p>
      <w:pPr>
        <w:pStyle w:val="ListBullet"/>
        <w:spacing w:after="60"/>
      </w:pPr>
      <w:r>
        <w:rPr>
          <w:color w:val="000000"/>
          <w:sz w:val="22"/>
        </w:rPr>
        <w:t>NEVER put real patient data in Base44 — demo uses simulated patients only</w:t>
      </w:r>
    </w:p>
    <w:p>
      <w:pPr>
        <w:pStyle w:val="ListBullet"/>
        <w:spacing w:after="60"/>
      </w:pPr>
      <w:r>
        <w:rPr>
          <w:color w:val="000000"/>
          <w:sz w:val="22"/>
        </w:rPr>
        <w:t>NO CPT billing codes in any materials — no wearables = no RPM billing codes</w:t>
      </w:r>
    </w:p>
    <w:p>
      <w:r>
        <w:br w:type="page"/>
      </w:r>
    </w:p>
    <w:p>
      <w:pPr>
        <w:spacing w:before="280" w:after="40"/>
      </w:pPr>
      <w:r>
        <w:rPr>
          <w:b/>
          <w:color w:val="D4159A"/>
          <w:sz w:val="36"/>
        </w:rPr>
        <w:t>10. BRAND GUIDELINES</w:t>
      </w:r>
    </w:p>
    <w:p>
      <w:pPr>
        <w:spacing w:before="40" w:after="80"/>
        <w:pBdr>
          <w:bottom w:val="single" w:sz="12" w:space="1" w:color="D4159A"/>
        </w:pBdr>
      </w:pPr>
    </w:p>
    <w:p>
      <w:pPr>
        <w:spacing w:before="200" w:after="40"/>
      </w:pPr>
      <w:r>
        <w:rPr>
          <w:b/>
          <w:color w:val="8844E8"/>
          <w:sz w:val="24"/>
        </w:rPr>
        <w:t>BRAND COLORS</w:t>
      </w:r>
    </w:p>
    <w:p>
      <w:pPr>
        <w:pStyle w:val="ListBullet"/>
        <w:spacing w:after="60"/>
      </w:pPr>
      <w:r>
        <w:rPr>
          <w:color w:val="000000"/>
          <w:sz w:val="22"/>
        </w:rPr>
        <w:t>Magenta: #D4159A — primary accent</w:t>
      </w:r>
    </w:p>
    <w:p>
      <w:pPr>
        <w:pStyle w:val="ListBullet"/>
        <w:spacing w:after="60"/>
      </w:pPr>
      <w:r>
        <w:rPr>
          <w:color w:val="000000"/>
          <w:sz w:val="22"/>
        </w:rPr>
        <w:t>Purple: #8844E8 — secondary accent</w:t>
      </w:r>
    </w:p>
    <w:p>
      <w:pPr>
        <w:pStyle w:val="ListBullet"/>
        <w:spacing w:after="60"/>
      </w:pPr>
      <w:r>
        <w:rPr>
          <w:color w:val="000000"/>
          <w:sz w:val="22"/>
        </w:rPr>
        <w:t>Cyan: #10D8F0 — highlight / energy color</w:t>
      </w:r>
    </w:p>
    <w:p>
      <w:pPr>
        <w:pStyle w:val="ListBullet"/>
        <w:spacing w:after="60"/>
      </w:pPr>
      <w:r>
        <w:rPr>
          <w:color w:val="000000"/>
          <w:sz w:val="22"/>
        </w:rPr>
        <w:t>Background: #07070F — dark, bold, premium</w:t>
      </w:r>
    </w:p>
    <w:p>
      <w:pPr>
        <w:spacing w:before="200" w:after="40"/>
      </w:pPr>
      <w:r>
        <w:rPr>
          <w:b/>
          <w:color w:val="8844E8"/>
          <w:sz w:val="24"/>
        </w:rPr>
        <w:t>BRAND VOICE</w:t>
      </w:r>
    </w:p>
    <w:p>
      <w:pPr>
        <w:pStyle w:val="ListBullet"/>
        <w:spacing w:after="60"/>
      </w:pPr>
      <w:r>
        <w:rPr>
          <w:color w:val="000000"/>
          <w:sz w:val="22"/>
        </w:rPr>
        <w:t>Authentic and real — no corporate fluff, no buzzwords</w:t>
      </w:r>
    </w:p>
    <w:p>
      <w:pPr>
        <w:pStyle w:val="ListBullet"/>
        <w:spacing w:after="60"/>
      </w:pPr>
      <w:r>
        <w:rPr>
          <w:color w:val="000000"/>
          <w:sz w:val="22"/>
        </w:rPr>
        <w:t>Casual but smart — like texting a brilliant friend who runs a tech company</w:t>
      </w:r>
    </w:p>
    <w:p>
      <w:pPr>
        <w:pStyle w:val="ListBullet"/>
        <w:spacing w:after="60"/>
      </w:pPr>
      <w:r>
        <w:rPr>
          <w:color w:val="000000"/>
          <w:sz w:val="22"/>
        </w:rPr>
        <w:t>Passionate — fire, mission, and WHY behind every word</w:t>
      </w:r>
    </w:p>
    <w:p>
      <w:pPr>
        <w:pStyle w:val="ListBullet"/>
        <w:spacing w:after="60"/>
      </w:pPr>
      <w:r>
        <w:rPr>
          <w:color w:val="000000"/>
          <w:sz w:val="22"/>
        </w:rPr>
        <w:t>Vulnerable and brave — lived experience, real struggle, real building</w:t>
      </w:r>
    </w:p>
    <w:p>
      <w:pPr>
        <w:pStyle w:val="ListBullet"/>
        <w:spacing w:after="60"/>
      </w:pPr>
      <w:r>
        <w:rPr>
          <w:color w:val="000000"/>
          <w:sz w:val="22"/>
        </w:rPr>
        <w:t>Recovery-informed — speaks from lived experience, not clinical distance</w:t>
      </w:r>
    </w:p>
    <w:p>
      <w:pPr>
        <w:pStyle w:val="ListBullet"/>
        <w:spacing w:after="60"/>
      </w:pPr>
      <w:r>
        <w:rPr>
          <w:color w:val="000000"/>
          <w:sz w:val="22"/>
        </w:rPr>
        <w:t>Disruptive — challenges the status quo in healthcare and tech</w:t>
      </w:r>
    </w:p>
    <w:p>
      <w:pPr>
        <w:spacing w:before="200" w:after="40"/>
      </w:pPr>
      <w:r>
        <w:rPr>
          <w:b/>
          <w:color w:val="10D8F0"/>
          <w:sz w:val="24"/>
        </w:rPr>
        <w:t>TONE EXAMPLES</w:t>
      </w:r>
    </w:p>
    <w:p>
      <w:pPr>
        <w:spacing w:after="100"/>
      </w:pPr>
      <w:r>
        <w:rPr>
          <w:b w:val="0"/>
          <w:i/>
          <w:color w:val="777777"/>
          <w:sz w:val="22"/>
        </w:rPr>
        <w:t>"I built this company because the system that was supposed to save my life almost killed me. Now I'm using AI to make sure nobody else falls through the cracks."</w:t>
      </w:r>
    </w:p>
    <w:p>
      <w:pPr>
        <w:spacing w:after="100"/>
      </w:pPr>
      <w:r>
        <w:rPr>
          <w:b w:val="0"/>
          <w:i/>
          <w:color w:val="777777"/>
          <w:sz w:val="22"/>
        </w:rPr>
        <w:t>"Being a single mom and a CEO means I know what it's like to operate on zero sleep and infinite purpose."</w:t>
      </w:r>
    </w:p>
    <w:p>
      <w:pPr>
        <w:spacing w:after="100"/>
      </w:pPr>
      <w:r>
        <w:rPr>
          <w:b w:val="0"/>
          <w:i/>
          <w:color w:val="777777"/>
          <w:sz w:val="22"/>
        </w:rPr>
        <w:t>"We're not building another healthcare app. We're building the thing I wish existed when I was fighting for my life."</w:t>
      </w:r>
    </w:p>
    <w:p>
      <w:pPr>
        <w:spacing w:before="200" w:after="40"/>
      </w:pPr>
      <w:r>
        <w:rPr>
          <w:b/>
          <w:color w:val="8844E8"/>
          <w:sz w:val="24"/>
        </w:rPr>
        <w:t>WHAT NOT TO SOUND LIKE</w:t>
      </w:r>
    </w:p>
    <w:p>
      <w:pPr>
        <w:pStyle w:val="ListBullet"/>
        <w:spacing w:after="60"/>
      </w:pPr>
      <w:r>
        <w:rPr>
          <w:color w:val="000000"/>
          <w:sz w:val="22"/>
        </w:rPr>
        <w:t>No: 'Leveraging AI-driven insights to optimize patient outcomes'</w:t>
      </w:r>
    </w:p>
    <w:p>
      <w:pPr>
        <w:pStyle w:val="ListBullet"/>
        <w:spacing w:after="60"/>
      </w:pPr>
      <w:r>
        <w:rPr>
          <w:color w:val="000000"/>
          <w:sz w:val="22"/>
        </w:rPr>
        <w:t>No: 'Our innovative SaaS solution disrupts the behavioral health vertical'</w:t>
      </w:r>
    </w:p>
    <w:p>
      <w:pPr>
        <w:pStyle w:val="ListBullet"/>
        <w:spacing w:after="60"/>
      </w:pPr>
      <w:r>
        <w:rPr>
          <w:color w:val="000000"/>
          <w:sz w:val="22"/>
        </w:rPr>
        <w:t>No: Corporate speak, buzzword soup, clinical distance</w:t>
      </w:r>
    </w:p>
    <w:p>
      <w:r>
        <w:br w:type="page"/>
      </w:r>
    </w:p>
    <w:p>
      <w:pPr>
        <w:spacing w:before="280" w:after="40"/>
      </w:pPr>
      <w:r>
        <w:rPr>
          <w:b/>
          <w:color w:val="D4159A"/>
          <w:sz w:val="36"/>
        </w:rPr>
        <w:t>11. KEY CONTACTS &amp; LINKS</w:t>
      </w:r>
    </w:p>
    <w:p>
      <w:pPr>
        <w:spacing w:before="40" w:after="80"/>
        <w:pBdr>
          <w:bottom w:val="single" w:sz="12" w:space="1" w:color="D4159A"/>
        </w:pBdr>
      </w:pPr>
    </w:p>
    <w:p>
      <w:pPr>
        <w:spacing w:before="200" w:after="40"/>
      </w:pPr>
      <w:r>
        <w:rPr>
          <w:b/>
          <w:color w:val="8844E8"/>
          <w:sz w:val="24"/>
        </w:rPr>
        <w:t>EMAILS</w:t>
      </w:r>
    </w:p>
    <w:p>
      <w:pPr>
        <w:pStyle w:val="ListBullet"/>
        <w:spacing w:after="60"/>
      </w:pPr>
      <w:r>
        <w:rPr>
          <w:color w:val="000000"/>
          <w:sz w:val="22"/>
        </w:rPr>
        <w:t>Kourtney (business): Kourtney@anchorpointhealthsystems.com</w:t>
      </w:r>
    </w:p>
    <w:p>
      <w:pPr>
        <w:pStyle w:val="ListBullet"/>
        <w:spacing w:after="60"/>
      </w:pPr>
      <w:r>
        <w:rPr>
          <w:color w:val="000000"/>
          <w:sz w:val="22"/>
        </w:rPr>
        <w:t>Kourtney (personal): kourtney.rhodes25@gmail.com</w:t>
      </w:r>
    </w:p>
    <w:p>
      <w:pPr>
        <w:pStyle w:val="ListBullet"/>
        <w:spacing w:after="60"/>
      </w:pPr>
      <w:r>
        <w:rPr>
          <w:color w:val="000000"/>
          <w:sz w:val="22"/>
        </w:rPr>
        <w:t>Vega (AI agent): vega@anchorpointhealthsystems.com</w:t>
      </w:r>
    </w:p>
    <w:p>
      <w:pPr>
        <w:pStyle w:val="ListBullet"/>
        <w:spacing w:after="60"/>
      </w:pPr>
      <w:r>
        <w:rPr>
          <w:color w:val="000000"/>
          <w:sz w:val="22"/>
        </w:rPr>
        <w:t>Dr. Nixi Cat: drcat@anchorpointhealthsystems.com</w:t>
      </w:r>
    </w:p>
    <w:p>
      <w:pPr>
        <w:spacing w:before="200" w:after="40"/>
      </w:pPr>
      <w:r>
        <w:rPr>
          <w:b/>
          <w:color w:val="8844E8"/>
          <w:sz w:val="24"/>
        </w:rPr>
        <w:t>LIVE LINKS</w:t>
      </w:r>
    </w:p>
    <w:p>
      <w:pPr>
        <w:pStyle w:val="ListBullet"/>
        <w:spacing w:after="60"/>
      </w:pPr>
      <w:r>
        <w:rPr>
          <w:color w:val="000000"/>
          <w:sz w:val="22"/>
        </w:rPr>
        <w:t>Website: anchorpointhealthsystems.com</w:t>
      </w:r>
    </w:p>
    <w:p>
      <w:pPr>
        <w:pStyle w:val="ListBullet"/>
        <w:spacing w:after="60"/>
      </w:pPr>
      <w:r>
        <w:rPr>
          <w:color w:val="000000"/>
          <w:sz w:val="22"/>
        </w:rPr>
        <w:t>Live app: anchor-point-marketing-superagent-b56ededc.base44.app</w:t>
      </w:r>
    </w:p>
    <w:p>
      <w:pPr>
        <w:pStyle w:val="ListBullet"/>
        <w:spacing w:after="60"/>
      </w:pPr>
      <w:r>
        <w:rPr>
          <w:color w:val="000000"/>
          <w:sz w:val="22"/>
        </w:rPr>
        <w:t>Public demo: .../demo</w:t>
      </w:r>
    </w:p>
    <w:p>
      <w:pPr>
        <w:pStyle w:val="ListBullet"/>
        <w:spacing w:after="60"/>
      </w:pPr>
      <w:r>
        <w:rPr>
          <w:color w:val="000000"/>
          <w:sz w:val="22"/>
        </w:rPr>
        <w:t>Dashboard (pw protected): .../dashboard</w:t>
      </w:r>
    </w:p>
    <w:p>
      <w:pPr>
        <w:pStyle w:val="ListBullet"/>
        <w:spacing w:after="60"/>
      </w:pPr>
      <w:r>
        <w:rPr>
          <w:color w:val="000000"/>
          <w:sz w:val="22"/>
        </w:rPr>
        <w:t>Pitch deck: .../pitch</w:t>
      </w:r>
    </w:p>
    <w:p>
      <w:pPr>
        <w:spacing w:before="200" w:after="40"/>
      </w:pPr>
      <w:r>
        <w:rPr>
          <w:b/>
          <w:color w:val="8844E8"/>
          <w:sz w:val="24"/>
        </w:rPr>
        <w:t>KEY EXTERNAL CONTACTS</w:t>
      </w:r>
    </w:p>
    <w:p>
      <w:pPr>
        <w:pStyle w:val="ListBullet"/>
        <w:spacing w:after="60"/>
      </w:pPr>
      <w:r>
        <w:rPr>
          <w:color w:val="000000"/>
          <w:sz w:val="22"/>
        </w:rPr>
        <w:t>i2E Concept Fund — Srijita Ghosh (primary contact)</w:t>
      </w:r>
    </w:p>
    <w:p>
      <w:pPr>
        <w:spacing w:before="200" w:after="40"/>
      </w:pPr>
      <w:r>
        <w:rPr>
          <w:b/>
          <w:color w:val="777777"/>
          <w:sz w:val="24"/>
        </w:rPr>
        <w:t>LINKEDIN RULES</w:t>
      </w:r>
    </w:p>
    <w:p>
      <w:pPr>
        <w:pStyle w:val="ListBullet"/>
        <w:spacing w:after="60"/>
      </w:pPr>
      <w:r>
        <w:rPr>
          <w:color w:val="000000"/>
          <w:sz w:val="22"/>
        </w:rPr>
        <w:t>DO NOT engage with Aaron (flirt situation — avoid)</w:t>
      </w:r>
    </w:p>
    <w:p>
      <w:pPr>
        <w:pStyle w:val="ListBullet"/>
        <w:spacing w:after="60"/>
      </w:pPr>
      <w:r>
        <w:rPr>
          <w:color w:val="000000"/>
          <w:sz w:val="22"/>
        </w:rPr>
        <w:t>DO NOT engage with FluidState founder — building a competing product</w:t>
      </w:r>
    </w:p>
    <w:p>
      <w:pPr>
        <w:spacing w:before="40" w:after="80"/>
        <w:pBdr>
          <w:bottom w:val="single" w:sz="12" w:space="1" w:color="8844E8"/>
        </w:pBdr>
      </w:pPr>
    </w:p>
    <w:p>
      <w:pPr>
        <w:jc w:val="center"/>
      </w:pPr>
      <w:r>
        <w:rPr>
          <w:color w:val="777777"/>
          <w:sz w:val="16"/>
        </w:rPr>
        <w:t>© 2026 AnchorPoint Health Systems  ·  Moore, Oklahoma  ·  HIPAA Compliant  ·  Confidential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