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jc w:val="center"/>
      </w:pPr>
      <w:r>
        <w:rPr>
          <w:b/>
          <w:bCs/>
          <w:color w:val="1F3864"/>
          <w:sz w:val="56"/>
          <w:szCs w:val="56"/>
        </w:rPr>
        <w:t xml:space="preserve">SkillMatch</w:t>
      </w:r>
    </w:p>
    <w:p>
      <w:pPr>
        <w:spacing w:after="400"/>
        <w:jc w:val="center"/>
      </w:pPr>
      <w:r>
        <w:rPr>
          <w:b/>
          <w:bCs/>
          <w:color w:val="2E74B5"/>
          <w:sz w:val="28"/>
          <w:szCs w:val="28"/>
        </w:rPr>
        <w:t xml:space="preserve">An End-to-End Machine Learning System for Employee Attrition Risk Prediction</w:t>
      </w:r>
    </w:p>
    <w:p>
      <w:pPr>
        <w:spacing w:after="600"/>
        <w:jc w:val="center"/>
      </w:pPr>
      <w:r>
        <w:rPr>
          <w:i/>
          <w:iCs/>
          <w:sz w:val="24"/>
          <w:szCs w:val="24"/>
        </w:rPr>
        <w:t xml:space="preserve">Project Report — Abstract, Module Usage, and System Design</w:t>
      </w:r>
    </w:p>
    <w:p>
      <w:pPr>
        <w:pBdr>
          <w:bottom w:val="single" w:color="2E74B5" w:sz="6"/>
        </w:pBdr>
        <w:spacing w:after="400"/>
      </w:pPr>
    </w:p>
    <w:p>
      <w:pPr>
        <w:spacing w:after="100"/>
        <w:jc w:val="center"/>
      </w:pPr>
      <w:r>
        <w:rPr>
          <w:b/>
          <w:bCs/>
          <w:sz w:val="22"/>
          <w:szCs w:val="22"/>
        </w:rPr>
        <w:t xml:space="preserve">Team Members</w:t>
      </w:r>
    </w:p>
    <w:p>
      <w:pPr>
        <w:jc w:val="center"/>
      </w:pPr>
      <w:r>
        <w:t xml:space="preserve">KSG (Student ID: 2500030167)</w:t>
      </w:r>
    </w:p>
    <w:p>
      <w:pPr>
        <w:jc w:val="center"/>
      </w:pPr>
      <w:r>
        <w:t xml:space="preserve">Sandeep</w:t>
      </w:r>
    </w:p>
    <w:p>
      <w:pPr>
        <w:spacing w:after="400"/>
        <w:jc w:val="center"/>
      </w:pPr>
      <w:r>
        <w:t xml:space="preserve">U. Yellaiah Yadav (Student ID: 2500031303)</w:t>
      </w:r>
    </w:p>
    <w:p>
      <w:pPr>
        <w:spacing w:after="40"/>
        <w:jc w:val="center"/>
      </w:pPr>
      <w:r>
        <w:t xml:space="preserve">K L Education Foundation</w:t>
      </w:r>
    </w:p>
    <w:p>
      <w:pPr>
        <w:jc w:val="center"/>
      </w:pPr>
      <w:r>
        <w:t xml:space="preserve">Course: Computational Foundations for AI (25SC136E) — ML Systems Module</w:t>
      </w:r>
    </w:p>
    <w:p>
      <w:r>
        <w:br w:type="page"/>
      </w:r>
    </w:p>
    <w:p>
      <w:pPr>
        <w:pStyle w:val="Heading1"/>
        <w:spacing w:after="150" w:before="300"/>
      </w:pPr>
      <w:r>
        <w:t xml:space="preserve">Abstract</w:t>
      </w:r>
    </w:p>
    <w:p>
      <w:pPr>
        <w:spacing w:after="160"/>
        <w:jc w:val="both"/>
      </w:pPr>
      <w:r>
        <w:t xml:space="preserve">SkillMatch is an end-to-end machine learning system that predicts employee attrition risk — the likelihood that an employee will leave an organisation — from HR and job-related attributes. The project was built to demonstrate the complete ML system lifecycle taught in this course: raw data is ingested and cleaned, informative features are engineered from raw HR attributes, an unsupervised clustering step derives a behavioural risk segment, two supervised models (a regularised logistic regression and a gradient-boosted tree ensemble) are trained and compared under stratified cross-validation, the better-performing model is calibrated, packaged together with its preprocessing pipeline, and exposed as a live REST prediction endpoint. A lightweight monitoring component closes the loop by watching for data drift in incoming requests and recommending retraining when it is detected.</w:t>
      </w:r>
    </w:p>
    <w:p>
      <w:pPr>
        <w:spacing w:after="160"/>
        <w:jc w:val="both"/>
      </w:pPr>
      <w:r>
        <w:t xml:space="preserve">The system is trained and evaluated on the IBM HR Analytics Employee Attrition &amp; Performance dataset (1,470 employee records, 35 raw attributes, ~16% positive attrition rate). On a held-out test set, the calibrated logistic regression model reached a ROC-AUC of 0.84 and was selected as the champion model over the gradient-boosted alternative (ROC-AUC 0.79), reflecting the strongly linear class boundary and comparatively small sample size of this dataset. Beyond raw accuracy, the project's contribution is architectural: it shows, in working code, how each stage of the ML lifecycle (data → features → model → artifact → endpoint → monitoring → retraining) fits together as a single deployable system rather than a standalone notebook.</w:t>
      </w:r>
    </w:p>
    <w:p>
      <w:pPr>
        <w:pStyle w:val="Heading1"/>
        <w:spacing w:after="150" w:before="300"/>
      </w:pPr>
      <w:r>
        <w:t xml:space="preserve">1. Problem Statement and Dataset</w:t>
      </w:r>
    </w:p>
    <w:p>
      <w:pPr>
        <w:spacing w:after="160"/>
        <w:jc w:val="both"/>
      </w:pPr>
      <w:r>
        <w:t xml:space="preserve">Employee attrition is costly to organisations in recruitment, onboarding, and lost institutional knowledge. SkillMatch frames attrition prediction as a supervised binary classification problem: given an employee's demographic, job, compensation, and satisfaction attributes, predict whether that employee is at high risk of leaving (Attrition = Yes/No).</w:t>
      </w:r>
    </w:p>
    <w:p>
      <w:pPr>
        <w:spacing w:after="160"/>
        <w:jc w:val="both"/>
      </w:pPr>
      <w:r>
        <w:t xml:space="preserve">Dataset: IBM HR Analytics Employee Attrition &amp; Performance (Kaggle). It contains 1,470 employee records with 35 attributes covering demographics (Age, Gender, Marital Status), job attributes (Department, JobRole, JobLevel, OverTime, BusinessTravel), compensation (MonthlyIncome, DailyRate, PercentSalaryHike, StockOptionLevel), tenure (YearsAtCompany, YearsInCurrentRole, YearsSinceLastPromotion, YearsWithCurrManager), and self-reported satisfaction scores (JobSatisfaction, EnvironmentSatisfaction, WorkLifeBalance, RelationshipSatisfaction). The target variable, Attrition, is imbalanced: roughly 16% of employees in the dataset left the company. The dataset is synthetic/anonymised but structurally realistic, which makes it well suited to demonstrating a full ML system without any data-privacy concerns.</w:t>
      </w:r>
    </w:p>
    <w:p>
      <w:pPr>
        <w:pStyle w:val="Heading1"/>
        <w:spacing w:after="150" w:before="300"/>
      </w:pPr>
      <w:r>
        <w:t xml:space="preserve">2. Course Modules Used and How Each Was Applied</w:t>
      </w:r>
    </w:p>
    <w:p>
      <w:pPr>
        <w:spacing w:after="160"/>
        <w:jc w:val="both"/>
      </w:pPr>
      <w:r>
        <w:t xml:space="preserve">The table below maps each course module (M1–M6) to the concrete part of the SkillMatch system that applies it.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5500"/>
      </w:tblGrid>
      <w:tr>
        <w:tc>
          <w:tcPr>
            <w:tcW w:type="dxa" w:w="1200"/>
            <w:shd w:fill="1F3864" w:val="clear"/>
            <w:tcMar>
              <w:top w:type="dxa" w:w="80"/>
              <w:left w:type="dxa" w:w="100"/>
              <w:bottom w:type="dxa" w:w="80"/>
              <w:right w:type="dxa" w:w="100"/>
            </w:tcMar>
          </w:tcPr>
          <w:p>
            <w:r>
              <w:rPr>
                <w:b/>
                <w:bCs/>
                <w:color w:val="FFFFFF"/>
                <w:sz w:val="20"/>
                <w:szCs w:val="20"/>
              </w:rPr>
              <w:t xml:space="preserve">Module</w:t>
            </w:r>
          </w:p>
        </w:tc>
        <w:tc>
          <w:tcPr>
            <w:tcW w:type="dxa" w:w="3300"/>
            <w:shd w:fill="1F3864" w:val="clear"/>
            <w:tcMar>
              <w:top w:type="dxa" w:w="80"/>
              <w:left w:type="dxa" w:w="100"/>
              <w:bottom w:type="dxa" w:w="80"/>
              <w:right w:type="dxa" w:w="100"/>
            </w:tcMar>
          </w:tcPr>
          <w:p>
            <w:r>
              <w:rPr>
                <w:b/>
                <w:bCs/>
                <w:color w:val="FFFFFF"/>
                <w:sz w:val="20"/>
                <w:szCs w:val="20"/>
              </w:rPr>
              <w:t xml:space="preserve">Concept Focus</w:t>
            </w:r>
          </w:p>
        </w:tc>
        <w:tc>
          <w:tcPr>
            <w:tcW w:type="dxa" w:w="5500"/>
            <w:shd w:fill="1F3864" w:val="clear"/>
            <w:tcMar>
              <w:top w:type="dxa" w:w="80"/>
              <w:left w:type="dxa" w:w="100"/>
              <w:bottom w:type="dxa" w:w="80"/>
              <w:right w:type="dxa" w:w="100"/>
            </w:tcMar>
          </w:tcPr>
          <w:p>
            <w:r>
              <w:rPr>
                <w:b/>
                <w:bCs/>
                <w:color w:val="FFFFFF"/>
                <w:sz w:val="20"/>
                <w:szCs w:val="20"/>
              </w:rPr>
              <w:t xml:space="preserve">How It Was Used in SkillMatch</w:t>
            </w:r>
          </w:p>
        </w:tc>
      </w:tr>
      <w:tr>
        <w:tc>
          <w:tcPr>
            <w:tcW w:type="dxa" w:w="1200"/>
            <w:tcMar>
              <w:top w:type="dxa" w:w="80"/>
              <w:left w:type="dxa" w:w="100"/>
              <w:bottom w:type="dxa" w:w="80"/>
              <w:right w:type="dxa" w:w="100"/>
            </w:tcMar>
          </w:tcPr>
          <w:p>
            <w:r>
              <w:rPr>
                <w:b w:val="false"/>
                <w:bCs w:val="false"/>
                <w:color w:val="000000"/>
                <w:sz w:val="20"/>
                <w:szCs w:val="20"/>
              </w:rPr>
              <w:t xml:space="preserve">M1</w:t>
            </w:r>
          </w:p>
        </w:tc>
        <w:tc>
          <w:tcPr>
            <w:tcW w:type="dxa" w:w="3300"/>
            <w:tcMar>
              <w:top w:type="dxa" w:w="80"/>
              <w:left w:type="dxa" w:w="100"/>
              <w:bottom w:type="dxa" w:w="80"/>
              <w:right w:type="dxa" w:w="100"/>
            </w:tcMar>
          </w:tcPr>
          <w:p>
            <w:r>
              <w:rPr>
                <w:b w:val="false"/>
                <w:bCs w:val="false"/>
                <w:color w:val="000000"/>
                <w:sz w:val="20"/>
                <w:szCs w:val="20"/>
              </w:rPr>
              <w:t xml:space="preserve">ML system lifecycle; supervised classification; training-serving boundary</w:t>
            </w:r>
          </w:p>
        </w:tc>
        <w:tc>
          <w:tcPr>
            <w:tcW w:type="dxa" w:w="5500"/>
            <w:tcMar>
              <w:top w:type="dxa" w:w="80"/>
              <w:left w:type="dxa" w:w="100"/>
              <w:bottom w:type="dxa" w:w="80"/>
              <w:right w:type="dxa" w:w="100"/>
            </w:tcMar>
          </w:tcPr>
          <w:p>
            <w:r>
              <w:rPr>
                <w:b w:val="false"/>
                <w:bCs w:val="false"/>
                <w:color w:val="000000"/>
                <w:sz w:val="20"/>
                <w:szCs w:val="20"/>
              </w:rPr>
              <w:t xml:space="preserve">SkillMatch is structured exactly along the lifecycle: data_ingestion.py -&gt; feature_engineering.py -&gt; train.py -&gt; models/skillmatch_model.joblib -&gt; app/serve.py -&gt; src/monitor.py. Framed as supervised binary classification (Attrition: Yes/No).</w:t>
            </w:r>
          </w:p>
        </w:tc>
      </w:tr>
      <w:tr>
        <w:tc>
          <w:tcPr>
            <w:tcW w:type="dxa" w:w="1200"/>
            <w:tcMar>
              <w:top w:type="dxa" w:w="80"/>
              <w:left w:type="dxa" w:w="100"/>
              <w:bottom w:type="dxa" w:w="80"/>
              <w:right w:type="dxa" w:w="100"/>
            </w:tcMar>
          </w:tcPr>
          <w:p>
            <w:r>
              <w:rPr>
                <w:b w:val="false"/>
                <w:bCs w:val="false"/>
                <w:color w:val="000000"/>
                <w:sz w:val="20"/>
                <w:szCs w:val="20"/>
              </w:rPr>
              <w:t xml:space="preserve">M2</w:t>
            </w:r>
          </w:p>
        </w:tc>
        <w:tc>
          <w:tcPr>
            <w:tcW w:type="dxa" w:w="3300"/>
            <w:tcMar>
              <w:top w:type="dxa" w:w="80"/>
              <w:left w:type="dxa" w:w="100"/>
              <w:bottom w:type="dxa" w:w="80"/>
              <w:right w:type="dxa" w:w="100"/>
            </w:tcMar>
          </w:tcPr>
          <w:p>
            <w:r>
              <w:rPr>
                <w:b w:val="false"/>
                <w:bCs w:val="false"/>
                <w:color w:val="000000"/>
                <w:sz w:val="20"/>
                <w:szCs w:val="20"/>
              </w:rPr>
              <w:t xml:space="preserve">Logistic regression, regularisation, encoding, scaling</w:t>
            </w:r>
          </w:p>
        </w:tc>
        <w:tc>
          <w:tcPr>
            <w:tcW w:type="dxa" w:w="5500"/>
            <w:tcMar>
              <w:top w:type="dxa" w:w="80"/>
              <w:left w:type="dxa" w:w="100"/>
              <w:bottom w:type="dxa" w:w="80"/>
              <w:right w:type="dxa" w:w="100"/>
            </w:tcMar>
          </w:tcPr>
          <w:p>
            <w:r>
              <w:rPr>
                <w:b w:val="false"/>
                <w:bCs w:val="false"/>
                <w:color w:val="000000"/>
                <w:sz w:val="20"/>
                <w:szCs w:val="20"/>
              </w:rPr>
              <w:t xml:space="preserve">A ridge-regularised (L2) logistic regression is trained as the baseline classifier. Categorical fields are one-hot encoded and numeric fields are standardised inside a single scikit-learn ColumnTransformer, so the exact same transform is reused at serving time.</w:t>
            </w:r>
          </w:p>
        </w:tc>
      </w:tr>
      <w:tr>
        <w:tc>
          <w:tcPr>
            <w:tcW w:type="dxa" w:w="1200"/>
            <w:tcMar>
              <w:top w:type="dxa" w:w="80"/>
              <w:left w:type="dxa" w:w="100"/>
              <w:bottom w:type="dxa" w:w="80"/>
              <w:right w:type="dxa" w:w="100"/>
            </w:tcMar>
          </w:tcPr>
          <w:p>
            <w:r>
              <w:rPr>
                <w:b w:val="false"/>
                <w:bCs w:val="false"/>
                <w:color w:val="000000"/>
                <w:sz w:val="20"/>
                <w:szCs w:val="20"/>
              </w:rPr>
              <w:t xml:space="preserve">M3</w:t>
            </w:r>
          </w:p>
        </w:tc>
        <w:tc>
          <w:tcPr>
            <w:tcW w:type="dxa" w:w="3300"/>
            <w:tcMar>
              <w:top w:type="dxa" w:w="80"/>
              <w:left w:type="dxa" w:w="100"/>
              <w:bottom w:type="dxa" w:w="80"/>
              <w:right w:type="dxa" w:w="100"/>
            </w:tcMar>
          </w:tcPr>
          <w:p>
            <w:r>
              <w:rPr>
                <w:b w:val="false"/>
                <w:bCs w:val="false"/>
                <w:color w:val="000000"/>
                <w:sz w:val="20"/>
                <w:szCs w:val="20"/>
              </w:rPr>
              <w:t xml:space="preserve">Decision trees, boosting, feature importance</w:t>
            </w:r>
          </w:p>
        </w:tc>
        <w:tc>
          <w:tcPr>
            <w:tcW w:type="dxa" w:w="5500"/>
            <w:tcMar>
              <w:top w:type="dxa" w:w="80"/>
              <w:left w:type="dxa" w:w="100"/>
              <w:bottom w:type="dxa" w:w="80"/>
              <w:right w:type="dxa" w:w="100"/>
            </w:tcMar>
          </w:tcPr>
          <w:p>
            <w:r>
              <w:rPr>
                <w:b w:val="false"/>
                <w:bCs w:val="false"/>
                <w:color w:val="000000"/>
                <w:sz w:val="20"/>
                <w:szCs w:val="20"/>
              </w:rPr>
              <w:t xml:space="preserve">An XGBoost gradient-boosted tree ensemble is trained as the second candidate model, using the same feature set without scaling (trees are scale-invariant). Gini-based feature importances are extracted to identify the strongest attrition drivers.</w:t>
            </w:r>
          </w:p>
        </w:tc>
      </w:tr>
      <w:tr>
        <w:tc>
          <w:tcPr>
            <w:tcW w:type="dxa" w:w="1200"/>
            <w:tcMar>
              <w:top w:type="dxa" w:w="80"/>
              <w:left w:type="dxa" w:w="100"/>
              <w:bottom w:type="dxa" w:w="80"/>
              <w:right w:type="dxa" w:w="100"/>
            </w:tcMar>
          </w:tcPr>
          <w:p>
            <w:r>
              <w:rPr>
                <w:b w:val="false"/>
                <w:bCs w:val="false"/>
                <w:color w:val="000000"/>
                <w:sz w:val="20"/>
                <w:szCs w:val="20"/>
              </w:rPr>
              <w:t xml:space="preserve">M4</w:t>
            </w:r>
          </w:p>
        </w:tc>
        <w:tc>
          <w:tcPr>
            <w:tcW w:type="dxa" w:w="3300"/>
            <w:tcMar>
              <w:top w:type="dxa" w:w="80"/>
              <w:left w:type="dxa" w:w="100"/>
              <w:bottom w:type="dxa" w:w="80"/>
              <w:right w:type="dxa" w:w="100"/>
            </w:tcMar>
          </w:tcPr>
          <w:p>
            <w:r>
              <w:rPr>
                <w:b w:val="false"/>
                <w:bCs w:val="false"/>
                <w:color w:val="000000"/>
                <w:sz w:val="20"/>
                <w:szCs w:val="20"/>
              </w:rPr>
              <w:t xml:space="preserve">K-means clustering, unsupervised segmentation as features</w:t>
            </w:r>
          </w:p>
        </w:tc>
        <w:tc>
          <w:tcPr>
            <w:tcW w:type="dxa" w:w="5500"/>
            <w:tcMar>
              <w:top w:type="dxa" w:w="80"/>
              <w:left w:type="dxa" w:w="100"/>
              <w:bottom w:type="dxa" w:w="80"/>
              <w:right w:type="dxa" w:w="100"/>
            </w:tcMar>
          </w:tcPr>
          <w:p>
            <w:r>
              <w:rPr>
                <w:b w:val="false"/>
                <w:bCs w:val="false"/>
                <w:color w:val="000000"/>
                <w:sz w:val="20"/>
                <w:szCs w:val="20"/>
              </w:rPr>
              <w:t xml:space="preserve">K-means (k=4) clusters employees on tenure, satisfaction, and income signals into behavioural 'risk segments'. The resulting segment id is fed back into both supervised models as an additional categorical feature — a direct example of cluster labels used as features for a downstream supervised model.</w:t>
            </w:r>
          </w:p>
        </w:tc>
      </w:tr>
      <w:tr>
        <w:tc>
          <w:tcPr>
            <w:tcW w:type="dxa" w:w="1200"/>
            <w:tcMar>
              <w:top w:type="dxa" w:w="80"/>
              <w:left w:type="dxa" w:w="100"/>
              <w:bottom w:type="dxa" w:w="80"/>
              <w:right w:type="dxa" w:w="100"/>
            </w:tcMar>
          </w:tcPr>
          <w:p>
            <w:r>
              <w:rPr>
                <w:b w:val="false"/>
                <w:bCs w:val="false"/>
                <w:color w:val="000000"/>
                <w:sz w:val="20"/>
                <w:szCs w:val="20"/>
              </w:rPr>
              <w:t xml:space="preserve">M5</w:t>
            </w:r>
          </w:p>
        </w:tc>
        <w:tc>
          <w:tcPr>
            <w:tcW w:type="dxa" w:w="3300"/>
            <w:tcMar>
              <w:top w:type="dxa" w:w="80"/>
              <w:left w:type="dxa" w:w="100"/>
              <w:bottom w:type="dxa" w:w="80"/>
              <w:right w:type="dxa" w:w="100"/>
            </w:tcMar>
          </w:tcPr>
          <w:p>
            <w:r>
              <w:rPr>
                <w:b w:val="false"/>
                <w:bCs w:val="false"/>
                <w:color w:val="000000"/>
                <w:sz w:val="20"/>
                <w:szCs w:val="20"/>
              </w:rPr>
              <w:t xml:space="preserve">Train/val/test discipline, cross-validation, metrics, calibration</w:t>
            </w:r>
          </w:p>
        </w:tc>
        <w:tc>
          <w:tcPr>
            <w:tcW w:type="dxa" w:w="5500"/>
            <w:tcMar>
              <w:top w:type="dxa" w:w="80"/>
              <w:left w:type="dxa" w:w="100"/>
              <w:bottom w:type="dxa" w:w="80"/>
              <w:right w:type="dxa" w:w="100"/>
            </w:tcMar>
          </w:tcPr>
          <w:p>
            <w:r>
              <w:rPr>
                <w:b w:val="false"/>
                <w:bCs w:val="false"/>
                <w:color w:val="000000"/>
                <w:sz w:val="20"/>
                <w:szCs w:val="20"/>
              </w:rPr>
              <w:t xml:space="preserve">Data is split 70/15/15 into train/validation/test with stratification on the target. Both models are evaluated with 5-fold stratified cross-validation on ROC-AUC before being fit on the full training set. The champion model's probabilities are calibrated (Platt/sigmoid scaling) on the validation split. Final evaluation reports accuracy, precision, recall, F1, ROC-AUC, and the confusion matrix on the held-out test set.</w:t>
            </w:r>
          </w:p>
        </w:tc>
      </w:tr>
      <w:tr>
        <w:tc>
          <w:tcPr>
            <w:tcW w:type="dxa" w:w="1200"/>
            <w:tcMar>
              <w:top w:type="dxa" w:w="80"/>
              <w:left w:type="dxa" w:w="100"/>
              <w:bottom w:type="dxa" w:w="80"/>
              <w:right w:type="dxa" w:w="100"/>
            </w:tcMar>
          </w:tcPr>
          <w:p>
            <w:r>
              <w:rPr>
                <w:b w:val="false"/>
                <w:bCs w:val="false"/>
                <w:color w:val="000000"/>
                <w:sz w:val="20"/>
                <w:szCs w:val="20"/>
              </w:rPr>
              <w:t xml:space="preserve">M6</w:t>
            </w:r>
          </w:p>
        </w:tc>
        <w:tc>
          <w:tcPr>
            <w:tcW w:type="dxa" w:w="3300"/>
            <w:tcMar>
              <w:top w:type="dxa" w:w="80"/>
              <w:left w:type="dxa" w:w="100"/>
              <w:bottom w:type="dxa" w:w="80"/>
              <w:right w:type="dxa" w:w="100"/>
            </w:tcMar>
          </w:tcPr>
          <w:p>
            <w:r>
              <w:rPr>
                <w:b w:val="false"/>
                <w:bCs w:val="false"/>
                <w:color w:val="000000"/>
                <w:sz w:val="20"/>
                <w:szCs w:val="20"/>
              </w:rPr>
              <w:t xml:space="preserve">Packaging, serving, training-serving skew, monitoring, retraining</w:t>
            </w:r>
          </w:p>
        </w:tc>
        <w:tc>
          <w:tcPr>
            <w:tcW w:type="dxa" w:w="5500"/>
            <w:tcMar>
              <w:top w:type="dxa" w:w="80"/>
              <w:left w:type="dxa" w:w="100"/>
              <w:bottom w:type="dxa" w:w="80"/>
              <w:right w:type="dxa" w:w="100"/>
            </w:tcMar>
          </w:tcPr>
          <w:p>
            <w:r>
              <w:rPr>
                <w:b w:val="false"/>
                <w:bCs w:val="false"/>
                <w:color w:val="000000"/>
                <w:sz w:val="20"/>
                <w:szCs w:val="20"/>
              </w:rPr>
              <w:t xml:space="preserve">The fitted preprocessing pipeline and champion model are packaged together into one joblib artifact so training-time and serving-time transforms can never diverge. A FastAPI app (app/serve.py) exposes a /predict endpoint that loads this artifact and returns an attrition probability. Every prediction is logged, and src/monitor.py compares the running mean of key production inputs against training-time means to flag data drift and recommend retraining.</w:t>
            </w:r>
          </w:p>
        </w:tc>
      </w:tr>
    </w:tbl>
    <w:p>
      <w:pPr>
        <w:pStyle w:val="Heading1"/>
        <w:spacing w:after="150" w:before="300"/>
      </w:pPr>
      <w:r>
        <w:t xml:space="preserve">3. How the System Works — End to End</w:t>
      </w:r>
    </w:p>
    <w:p>
      <w:pPr>
        <w:pStyle w:val="Heading2"/>
        <w:spacing w:after="120" w:before="240"/>
      </w:pPr>
      <w:r>
        <w:t xml:space="preserve">3.1 Data Ingestion</w:t>
      </w:r>
    </w:p>
    <w:p>
      <w:pPr>
        <w:spacing w:after="160"/>
        <w:jc w:val="both"/>
      </w:pPr>
      <w:r>
        <w:t xml:space="preserve">data_ingestion.py loads the raw CSV, drops three zero-variance columns present in every row of this dataset (EmployeeCount, Over18, StandardHours), checks for missing values (none were found), de-duplicates on the employee identifier, and normalises the Attrition target from Yes/No text to a 0/1 integer label. The result is written to attrition_clean.csv.</w:t>
      </w:r>
    </w:p>
    <w:p>
      <w:pPr>
        <w:pStyle w:val="Heading2"/>
        <w:spacing w:after="120" w:before="240"/>
      </w:pPr>
      <w:r>
        <w:t xml:space="preserve">3.2 Feature Engineering</w:t>
      </w:r>
    </w:p>
    <w:p>
      <w:pPr>
        <w:spacing w:after="160"/>
        <w:jc w:val="both"/>
      </w:pPr>
      <w:r>
        <w:t xml:space="preserve">feature_engineering.py defines the feature set and adds four engineered ratio features that are not present verbatim in the raw data but are established attrition signals in HR analytics: Tenure Ratio (years at company relative to total working years), Promotion Gap Ratio (years since last promotion relative to tenure), Income per Job Level, and Manager Stability (years with current manager relative to tenure). Categorical fields are one-hot encoded; numeric fields are standardised for the linear model and passed through unscaled for the tree model.</w:t>
      </w:r>
    </w:p>
    <w:p>
      <w:pPr>
        <w:pStyle w:val="Heading2"/>
        <w:spacing w:after="120" w:before="240"/>
      </w:pPr>
      <w:r>
        <w:t xml:space="preserve">3.3 Unsupervised Risk Segmentation</w:t>
      </w:r>
    </w:p>
    <w:p>
      <w:pPr>
        <w:spacing w:after="160"/>
        <w:jc w:val="both"/>
      </w:pPr>
      <w:r>
        <w:t xml:space="preserve">Before supervised training, train.py runs K-means (k=4) over normalised tenure, satisfaction, and income fields to assign every employee to one of four behavioural clusters. This cluster id is added as a fifth categorical feature (RiskSegment), letting the supervised models pick up on non-linear groupings that individual raw features do not capture on their own.</w:t>
      </w:r>
    </w:p>
    <w:p>
      <w:pPr>
        <w:pStyle w:val="Heading2"/>
        <w:spacing w:after="120" w:before="240"/>
      </w:pPr>
      <w:r>
        <w:t xml:space="preserve">3.4 Model Training and Selection</w:t>
      </w:r>
    </w:p>
    <w:p>
      <w:pPr>
        <w:spacing w:after="160"/>
        <w:jc w:val="both"/>
      </w:pPr>
      <w:r>
        <w:t xml:space="preserve">Two candidate models are trained on identical data: a ridge logistic regression (class-balanced, L2-penalised) and an XGBoost classifier (max depth 4, 300 trees, class imbalance handled via scale_pos_weight). Both are scored with 5-fold stratified cross-validation on ROC-AUC before being fit on the full training split. The logistic regression's probability outputs are calibrated on a held-out validation split using sigmoid (Platt) calibration. Whichever model scores higher ROC-AUC on the untouched test split is selected as the 'champion' and packaged for serving.</w:t>
      </w:r>
    </w:p>
    <w:p>
      <w:pPr>
        <w:pStyle w:val="Heading2"/>
        <w:spacing w:after="120" w:before="240"/>
      </w:pPr>
      <w:r>
        <w:t xml:space="preserve">3.5 Evaluation Results</w:t>
      </w:r>
    </w:p>
    <w:p>
      <w:pPr>
        <w:spacing w:after="160"/>
        <w:jc w:val="both"/>
      </w:pPr>
      <w:r>
        <w:t xml:space="preserve">Final held-out test set results (221 employees, 16.1% positive class base rate):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500"/>
      </w:tblGrid>
      <w:tr>
        <w:tc>
          <w:tcPr>
            <w:tcW w:type="dxa" w:w="3500"/>
            <w:shd w:fill="1F3864" w:val="clear"/>
            <w:tcMar>
              <w:top w:type="dxa" w:w="80"/>
              <w:left w:type="dxa" w:w="100"/>
              <w:bottom w:type="dxa" w:w="80"/>
              <w:right w:type="dxa" w:w="100"/>
            </w:tcMar>
          </w:tcPr>
          <w:p>
            <w:r>
              <w:rPr>
                <w:b/>
                <w:bCs/>
                <w:color w:val="FFFFFF"/>
                <w:sz w:val="20"/>
                <w:szCs w:val="20"/>
              </w:rPr>
              <w:t xml:space="preserve">Metric</w:t>
            </w:r>
          </w:p>
        </w:tc>
        <w:tc>
          <w:tcPr>
            <w:tcW w:type="dxa" w:w="3000"/>
            <w:shd w:fill="1F3864" w:val="clear"/>
            <w:tcMar>
              <w:top w:type="dxa" w:w="80"/>
              <w:left w:type="dxa" w:w="100"/>
              <w:bottom w:type="dxa" w:w="80"/>
              <w:right w:type="dxa" w:w="100"/>
            </w:tcMar>
          </w:tcPr>
          <w:p>
            <w:r>
              <w:rPr>
                <w:b/>
                <w:bCs/>
                <w:color w:val="FFFFFF"/>
                <w:sz w:val="20"/>
                <w:szCs w:val="20"/>
              </w:rPr>
              <w:t xml:space="preserve">Logistic Regression (champion)</w:t>
            </w:r>
          </w:p>
        </w:tc>
        <w:tc>
          <w:tcPr>
            <w:tcW w:type="dxa" w:w="2500"/>
            <w:shd w:fill="1F3864" w:val="clear"/>
            <w:tcMar>
              <w:top w:type="dxa" w:w="80"/>
              <w:left w:type="dxa" w:w="100"/>
              <w:bottom w:type="dxa" w:w="80"/>
              <w:right w:type="dxa" w:w="100"/>
            </w:tcMar>
          </w:tcPr>
          <w:p>
            <w:r>
              <w:rPr>
                <w:b/>
                <w:bCs/>
                <w:color w:val="FFFFFF"/>
                <w:sz w:val="20"/>
                <w:szCs w:val="20"/>
              </w:rPr>
              <w:t xml:space="preserve">XGBoost</w:t>
            </w:r>
          </w:p>
        </w:tc>
      </w:tr>
      <w:tr>
        <w:tc>
          <w:tcPr>
            <w:tcW w:type="dxa" w:w="3500"/>
            <w:tcMar>
              <w:top w:type="dxa" w:w="80"/>
              <w:left w:type="dxa" w:w="100"/>
              <w:bottom w:type="dxa" w:w="80"/>
              <w:right w:type="dxa" w:w="100"/>
            </w:tcMar>
          </w:tcPr>
          <w:p>
            <w:r>
              <w:rPr>
                <w:b w:val="false"/>
                <w:bCs w:val="false"/>
                <w:color w:val="000000"/>
                <w:sz w:val="20"/>
                <w:szCs w:val="20"/>
              </w:rPr>
              <w:t xml:space="preserve">Accuracy</w:t>
            </w:r>
          </w:p>
        </w:tc>
        <w:tc>
          <w:tcPr>
            <w:tcW w:type="dxa" w:w="3000"/>
            <w:tcMar>
              <w:top w:type="dxa" w:w="80"/>
              <w:left w:type="dxa" w:w="100"/>
              <w:bottom w:type="dxa" w:w="80"/>
              <w:right w:type="dxa" w:w="100"/>
            </w:tcMar>
          </w:tcPr>
          <w:p>
            <w:r>
              <w:rPr>
                <w:b w:val="false"/>
                <w:bCs w:val="false"/>
                <w:color w:val="000000"/>
                <w:sz w:val="20"/>
                <w:szCs w:val="20"/>
              </w:rPr>
              <w:t xml:space="preserve">0.860</w:t>
            </w:r>
          </w:p>
        </w:tc>
        <w:tc>
          <w:tcPr>
            <w:tcW w:type="dxa" w:w="2500"/>
            <w:tcMar>
              <w:top w:type="dxa" w:w="80"/>
              <w:left w:type="dxa" w:w="100"/>
              <w:bottom w:type="dxa" w:w="80"/>
              <w:right w:type="dxa" w:w="100"/>
            </w:tcMar>
          </w:tcPr>
          <w:p>
            <w:r>
              <w:rPr>
                <w:b w:val="false"/>
                <w:bCs w:val="false"/>
                <w:color w:val="000000"/>
                <w:sz w:val="20"/>
                <w:szCs w:val="20"/>
              </w:rPr>
              <w:t xml:space="preserve">0.833</w:t>
            </w:r>
          </w:p>
        </w:tc>
      </w:tr>
      <w:tr>
        <w:tc>
          <w:tcPr>
            <w:tcW w:type="dxa" w:w="3500"/>
            <w:tcMar>
              <w:top w:type="dxa" w:w="80"/>
              <w:left w:type="dxa" w:w="100"/>
              <w:bottom w:type="dxa" w:w="80"/>
              <w:right w:type="dxa" w:w="100"/>
            </w:tcMar>
          </w:tcPr>
          <w:p>
            <w:r>
              <w:rPr>
                <w:b w:val="false"/>
                <w:bCs w:val="false"/>
                <w:color w:val="000000"/>
                <w:sz w:val="20"/>
                <w:szCs w:val="20"/>
              </w:rPr>
              <w:t xml:space="preserve">Precision (Leave)</w:t>
            </w:r>
          </w:p>
        </w:tc>
        <w:tc>
          <w:tcPr>
            <w:tcW w:type="dxa" w:w="3000"/>
            <w:tcMar>
              <w:top w:type="dxa" w:w="80"/>
              <w:left w:type="dxa" w:w="100"/>
              <w:bottom w:type="dxa" w:w="80"/>
              <w:right w:type="dxa" w:w="100"/>
            </w:tcMar>
          </w:tcPr>
          <w:p>
            <w:r>
              <w:rPr>
                <w:b w:val="false"/>
                <w:bCs w:val="false"/>
                <w:color w:val="000000"/>
                <w:sz w:val="20"/>
                <w:szCs w:val="20"/>
              </w:rPr>
              <w:t xml:space="preserve">0.647</w:t>
            </w:r>
          </w:p>
        </w:tc>
        <w:tc>
          <w:tcPr>
            <w:tcW w:type="dxa" w:w="2500"/>
            <w:tcMar>
              <w:top w:type="dxa" w:w="80"/>
              <w:left w:type="dxa" w:w="100"/>
              <w:bottom w:type="dxa" w:w="80"/>
              <w:right w:type="dxa" w:w="100"/>
            </w:tcMar>
          </w:tcPr>
          <w:p>
            <w:r>
              <w:rPr>
                <w:b w:val="false"/>
                <w:bCs w:val="false"/>
                <w:color w:val="000000"/>
                <w:sz w:val="20"/>
                <w:szCs w:val="20"/>
              </w:rPr>
              <w:t xml:space="preserve">0.483</w:t>
            </w:r>
          </w:p>
        </w:tc>
      </w:tr>
      <w:tr>
        <w:tc>
          <w:tcPr>
            <w:tcW w:type="dxa" w:w="3500"/>
            <w:tcMar>
              <w:top w:type="dxa" w:w="80"/>
              <w:left w:type="dxa" w:w="100"/>
              <w:bottom w:type="dxa" w:w="80"/>
              <w:right w:type="dxa" w:w="100"/>
            </w:tcMar>
          </w:tcPr>
          <w:p>
            <w:r>
              <w:rPr>
                <w:b w:val="false"/>
                <w:bCs w:val="false"/>
                <w:color w:val="000000"/>
                <w:sz w:val="20"/>
                <w:szCs w:val="20"/>
              </w:rPr>
              <w:t xml:space="preserve">Recall (Leave)</w:t>
            </w:r>
          </w:p>
        </w:tc>
        <w:tc>
          <w:tcPr>
            <w:tcW w:type="dxa" w:w="3000"/>
            <w:tcMar>
              <w:top w:type="dxa" w:w="80"/>
              <w:left w:type="dxa" w:w="100"/>
              <w:bottom w:type="dxa" w:w="80"/>
              <w:right w:type="dxa" w:w="100"/>
            </w:tcMar>
          </w:tcPr>
          <w:p>
            <w:r>
              <w:rPr>
                <w:b w:val="false"/>
                <w:bCs w:val="false"/>
                <w:color w:val="000000"/>
                <w:sz w:val="20"/>
                <w:szCs w:val="20"/>
              </w:rPr>
              <w:t xml:space="preserve">0.306</w:t>
            </w:r>
          </w:p>
        </w:tc>
        <w:tc>
          <w:tcPr>
            <w:tcW w:type="dxa" w:w="2500"/>
            <w:tcMar>
              <w:top w:type="dxa" w:w="80"/>
              <w:left w:type="dxa" w:w="100"/>
              <w:bottom w:type="dxa" w:w="80"/>
              <w:right w:type="dxa" w:w="100"/>
            </w:tcMar>
          </w:tcPr>
          <w:p>
            <w:r>
              <w:rPr>
                <w:b w:val="false"/>
                <w:bCs w:val="false"/>
                <w:color w:val="000000"/>
                <w:sz w:val="20"/>
                <w:szCs w:val="20"/>
              </w:rPr>
              <w:t xml:space="preserve">0.389</w:t>
            </w:r>
          </w:p>
        </w:tc>
      </w:tr>
      <w:tr>
        <w:tc>
          <w:tcPr>
            <w:tcW w:type="dxa" w:w="3500"/>
            <w:tcMar>
              <w:top w:type="dxa" w:w="80"/>
              <w:left w:type="dxa" w:w="100"/>
              <w:bottom w:type="dxa" w:w="80"/>
              <w:right w:type="dxa" w:w="100"/>
            </w:tcMar>
          </w:tcPr>
          <w:p>
            <w:r>
              <w:rPr>
                <w:b w:val="false"/>
                <w:bCs w:val="false"/>
                <w:color w:val="000000"/>
                <w:sz w:val="20"/>
                <w:szCs w:val="20"/>
              </w:rPr>
              <w:t xml:space="preserve">F1 (Leave)</w:t>
            </w:r>
          </w:p>
        </w:tc>
        <w:tc>
          <w:tcPr>
            <w:tcW w:type="dxa" w:w="3000"/>
            <w:tcMar>
              <w:top w:type="dxa" w:w="80"/>
              <w:left w:type="dxa" w:w="100"/>
              <w:bottom w:type="dxa" w:w="80"/>
              <w:right w:type="dxa" w:w="100"/>
            </w:tcMar>
          </w:tcPr>
          <w:p>
            <w:r>
              <w:rPr>
                <w:b w:val="false"/>
                <w:bCs w:val="false"/>
                <w:color w:val="000000"/>
                <w:sz w:val="20"/>
                <w:szCs w:val="20"/>
              </w:rPr>
              <w:t xml:space="preserve">0.415</w:t>
            </w:r>
          </w:p>
        </w:tc>
        <w:tc>
          <w:tcPr>
            <w:tcW w:type="dxa" w:w="2500"/>
            <w:tcMar>
              <w:top w:type="dxa" w:w="80"/>
              <w:left w:type="dxa" w:w="100"/>
              <w:bottom w:type="dxa" w:w="80"/>
              <w:right w:type="dxa" w:w="100"/>
            </w:tcMar>
          </w:tcPr>
          <w:p>
            <w:r>
              <w:rPr>
                <w:b w:val="false"/>
                <w:bCs w:val="false"/>
                <w:color w:val="000000"/>
                <w:sz w:val="20"/>
                <w:szCs w:val="20"/>
              </w:rPr>
              <w:t xml:space="preserve">0.431</w:t>
            </w:r>
          </w:p>
        </w:tc>
      </w:tr>
      <w:tr>
        <w:tc>
          <w:tcPr>
            <w:tcW w:type="dxa" w:w="3500"/>
            <w:tcMar>
              <w:top w:type="dxa" w:w="80"/>
              <w:left w:type="dxa" w:w="100"/>
              <w:bottom w:type="dxa" w:w="80"/>
              <w:right w:type="dxa" w:w="100"/>
            </w:tcMar>
          </w:tcPr>
          <w:p>
            <w:r>
              <w:rPr>
                <w:b w:val="false"/>
                <w:bCs w:val="false"/>
                <w:color w:val="000000"/>
                <w:sz w:val="20"/>
                <w:szCs w:val="20"/>
              </w:rPr>
              <w:t xml:space="preserve">ROC-AUC</w:t>
            </w:r>
          </w:p>
        </w:tc>
        <w:tc>
          <w:tcPr>
            <w:tcW w:type="dxa" w:w="3000"/>
            <w:tcMar>
              <w:top w:type="dxa" w:w="80"/>
              <w:left w:type="dxa" w:w="100"/>
              <w:bottom w:type="dxa" w:w="80"/>
              <w:right w:type="dxa" w:w="100"/>
            </w:tcMar>
          </w:tcPr>
          <w:p>
            <w:r>
              <w:rPr>
                <w:b w:val="false"/>
                <w:bCs w:val="false"/>
                <w:color w:val="000000"/>
                <w:sz w:val="20"/>
                <w:szCs w:val="20"/>
              </w:rPr>
              <w:t xml:space="preserve">0.841</w:t>
            </w:r>
          </w:p>
        </w:tc>
        <w:tc>
          <w:tcPr>
            <w:tcW w:type="dxa" w:w="2500"/>
            <w:tcMar>
              <w:top w:type="dxa" w:w="80"/>
              <w:left w:type="dxa" w:w="100"/>
              <w:bottom w:type="dxa" w:w="80"/>
              <w:right w:type="dxa" w:w="100"/>
            </w:tcMar>
          </w:tcPr>
          <w:p>
            <w:r>
              <w:rPr>
                <w:b w:val="false"/>
                <w:bCs w:val="false"/>
                <w:color w:val="000000"/>
                <w:sz w:val="20"/>
                <w:szCs w:val="20"/>
              </w:rPr>
              <w:t xml:space="preserve">0.785</w:t>
            </w:r>
          </w:p>
        </w:tc>
      </w:tr>
      <w:tr>
        <w:tc>
          <w:tcPr>
            <w:tcW w:type="dxa" w:w="3500"/>
            <w:tcMar>
              <w:top w:type="dxa" w:w="80"/>
              <w:left w:type="dxa" w:w="100"/>
              <w:bottom w:type="dxa" w:w="80"/>
              <w:right w:type="dxa" w:w="100"/>
            </w:tcMar>
          </w:tcPr>
          <w:p>
            <w:r>
              <w:rPr>
                <w:b w:val="false"/>
                <w:bCs w:val="false"/>
                <w:color w:val="000000"/>
                <w:sz w:val="20"/>
                <w:szCs w:val="20"/>
              </w:rPr>
              <w:t xml:space="preserve">5-fold CV ROC-AUC</w:t>
            </w:r>
          </w:p>
        </w:tc>
        <w:tc>
          <w:tcPr>
            <w:tcW w:type="dxa" w:w="3000"/>
            <w:tcMar>
              <w:top w:type="dxa" w:w="80"/>
              <w:left w:type="dxa" w:w="100"/>
              <w:bottom w:type="dxa" w:w="80"/>
              <w:right w:type="dxa" w:w="100"/>
            </w:tcMar>
          </w:tcPr>
          <w:p>
            <w:r>
              <w:rPr>
                <w:b w:val="false"/>
                <w:bCs w:val="false"/>
                <w:color w:val="000000"/>
                <w:sz w:val="20"/>
                <w:szCs w:val="20"/>
              </w:rPr>
              <w:t xml:space="preserve">0.827 ± 0.050</w:t>
            </w:r>
          </w:p>
        </w:tc>
        <w:tc>
          <w:tcPr>
            <w:tcW w:type="dxa" w:w="2500"/>
            <w:tcMar>
              <w:top w:type="dxa" w:w="80"/>
              <w:left w:type="dxa" w:w="100"/>
              <w:bottom w:type="dxa" w:w="80"/>
              <w:right w:type="dxa" w:w="100"/>
            </w:tcMar>
          </w:tcPr>
          <w:p>
            <w:r>
              <w:rPr>
                <w:b w:val="false"/>
                <w:bCs w:val="false"/>
                <w:color w:val="000000"/>
                <w:sz w:val="20"/>
                <w:szCs w:val="20"/>
              </w:rPr>
              <w:t xml:space="preserve">0.815 ± 0.046</w:t>
            </w:r>
          </w:p>
        </w:tc>
      </w:tr>
    </w:tbl>
    <w:p>
      <w:pPr>
        <w:spacing w:after="160"/>
        <w:jc w:val="both"/>
      </w:pPr>
      <w:r>
        <w:t xml:space="preserve">The logistic regression was selected as the champion model on test ROC-AUC. Its higher precision makes it better suited to a use case where HR would follow up individually on employees flagged as high-risk — false positives there carry a real (if modest) cost. The top features by importance in the tree model were Department (Sales), OverTime status, Stock Option Level, Years With Current Manager, and Job Role (Sales Executive), consistent with attrition research on this dataset — overtime and low retention incentives are recurring drivers.</w:t>
      </w:r>
    </w:p>
    <w:p>
      <w:pPr>
        <w:pStyle w:val="Heading2"/>
        <w:spacing w:after="120" w:before="240"/>
      </w:pPr>
      <w:r>
        <w:t xml:space="preserve">3.6 Serving</w:t>
      </w:r>
    </w:p>
    <w:p>
      <w:pPr>
        <w:spacing w:after="160"/>
        <w:jc w:val="both"/>
      </w:pPr>
      <w:r>
        <w:t xml:space="preserve">app/serve.py loads the packaged joblib artifact (preprocessor + champion model + fitted K-means) once at startup and exposes two endpoints: GET /health for a liveness check, and POST /predict, which accepts a single employee's raw attributes as JSON, applies the identical engineered-feature and clustering logic used at training time, and returns an attrition probability and a Stay/Leave label. Packaging the preprocessor with the model — rather than reimplementing the transform in the serving code — is the concrete defence against training-serving skew described in Module 6.</w:t>
      </w:r>
    </w:p>
    <w:p>
      <w:pPr>
        <w:pStyle w:val="Heading2"/>
        <w:spacing w:after="120" w:before="240"/>
      </w:pPr>
      <w:r>
        <w:t xml:space="preserve">3.7 Monitoring and Retraining</w:t>
      </w:r>
    </w:p>
    <w:p>
      <w:pPr>
        <w:spacing w:after="160"/>
        <w:jc w:val="both"/>
      </w:pPr>
      <w:r>
        <w:t xml:space="preserve">Every prediction served is appended to a log file with its inputs, output, and latency. src/monitor.py reads this log and compares the running mean of six key numeric inputs (Age, Monthly Income, Total Working Years, Years at Company, Distance From Home, Job Satisfaction) against their training-time means. A deviation beyond a 20% threshold on any field is flagged as data drift, and the report recommends triggering the retraining pipeline — a minimal but functioning example of the drift-triggered retraining loop described in Module 6.</w:t>
      </w:r>
    </w:p>
    <w:p>
      <w:pPr>
        <w:pStyle w:val="Heading1"/>
        <w:spacing w:after="150" w:before="300"/>
      </w:pPr>
      <w:r>
        <w:t xml:space="preserve">4. Conclusion</w:t>
      </w:r>
    </w:p>
    <w:p>
      <w:pPr>
        <w:spacing w:after="160"/>
        <w:jc w:val="both"/>
      </w:pPr>
      <w:r>
        <w:t xml:space="preserve">SkillMatch demonstrates that the ML system lifecycle covered across this course's modules — from raw data through to a monitored, servable prediction endpoint — can be implemented as a coherent, working system rather than a set of disconnected exercises. The project deliberately reuses one dataset and one problem (attrition prediction) across every module: linear and tree-based supervised learning, unsupervised clustering as a feature source, rigorous evaluation and calibration, and finally packaging, serving, and monitoring. The resulting logistic regression model achieves a test ROC-AUC of 0.84, and the surrounding system infrastructure (versioned artifact, REST endpoint, prediction logging, drift monitoring) is representative of how such a model would be operated in production.</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2026-09-11T04:30:31.303Z</dcterms:created>
  <dcterms:modified xsi:type="dcterms:W3CDTF">2026-09-11T04:30:31.311Z</dcterms:modified>
</cp:coreProperties>
</file>

<file path=docProps/custom.xml><?xml version="1.0" encoding="utf-8"?>
<Properties xmlns="http://schemas.openxmlformats.org/officeDocument/2006/custom-properties" xmlns:vt="http://schemas.openxmlformats.org/officeDocument/2006/docPropsVTypes"/>
</file>