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200"/>
        <w:jc w:val="center"/>
      </w:pPr>
      <w:r>
        <w:rPr>
          <w:rFonts w:ascii="Arial" w:cs="Arial" w:eastAsia="Arial" w:hAnsi="Arial"/>
          <w:b/>
          <w:bCs/>
          <w:color w:val="FFFFFF"/>
          <w:sz w:val="40"/>
          <w:szCs w:val="40"/>
        </w:rPr>
        <w:t xml:space="preserve">Zero-GPU Story Intelligence:</w:t>
      </w:r>
    </w:p>
    <w:p>
      <w:pPr>
        <w:shd w:fill="1F3864" w:val="clear"/>
        <w:spacing w:after="60" w:before="0"/>
        <w:jc w:val="center"/>
      </w:pPr>
      <w:r>
        <w:rPr>
          <w:rFonts w:ascii="Arial" w:cs="Arial" w:eastAsia="Arial" w:hAnsi="Arial"/>
          <w:b/>
          <w:bCs/>
          <w:color w:val="FFFFFF"/>
          <w:sz w:val="32"/>
          <w:szCs w:val="32"/>
        </w:rPr>
        <w:t xml:space="preserve">A Neuro-Symbolic Approach to Dynamic Graph-RAG</w:t>
      </w:r>
    </w:p>
    <w:p>
      <w:pPr>
        <w:shd w:fill="1F3864" w:val="clear"/>
        <w:spacing w:after="60" w:before="0"/>
        <w:jc w:val="center"/>
      </w:pPr>
      <w:r>
        <w:rPr>
          <w:rFonts w:ascii="Arial" w:cs="Arial" w:eastAsia="Arial" w:hAnsi="Arial"/>
          <w:b/>
          <w:bCs/>
          <w:color w:val="FFFFFF"/>
          <w:sz w:val="32"/>
          <w:szCs w:val="32"/>
        </w:rPr>
        <w:t xml:space="preserve">for Serialized Fiction Audio Synthesis</w:t>
      </w:r>
    </w:p>
    <w:p>
      <w:pPr>
        <w:shd w:fill="1F3864" w:val="clear"/>
        <w:spacing w:after="200" w:before="0"/>
        <w:jc w:val="center"/>
      </w:pPr>
      <w:r>
        <w:rPr>
          <w:rFonts w:ascii="Arial" w:cs="Arial" w:eastAsia="Arial" w:hAnsi="Arial"/>
          <w:i/>
          <w:iCs/>
          <w:color w:val="D5E8F0"/>
          <w:sz w:val="18"/>
          <w:szCs w:val="18"/>
        </w:rPr>
        <w:t xml:space="preserve">Webnovel Architect Research Group  •  Proof-of-Concept Technical Paper  •  Phase 7 Final Evaluation</w:t>
      </w:r>
    </w:p>
    <w:p>
      <w:pPr>
        <w:spacing w:after="12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Abstract</w:t>
      </w:r>
    </w:p>
    <w:p>
      <w:pPr>
        <w:spacing w:after="120" w:before="0" w:line="276" w:lineRule="auto"/>
        <w:jc w:val="both"/>
      </w:pPr>
      <w:r>
        <w:rPr>
          <w:rFonts w:ascii="Times New Roman" w:cs="Times New Roman" w:eastAsia="Times New Roman" w:hAnsi="Times New Roman"/>
          <w:sz w:val="22"/>
          <w:szCs w:val="22"/>
        </w:rPr>
        <w:t xml:space="preserve">The automated audio dramatization of serialized web fiction presents a fundamental challenge at the intersection of narrative intelligence and speech synthesis: the </w:t>
      </w:r>
      <w:r>
        <w:rPr>
          <w:rFonts w:ascii="Times New Roman" w:cs="Times New Roman" w:eastAsia="Times New Roman" w:hAnsi="Times New Roman"/>
          <w:b/>
          <w:bCs/>
          <w:sz w:val="22"/>
          <w:szCs w:val="22"/>
        </w:rPr>
        <w:t xml:space="preserve">Casting Paradox</w:t>
      </w:r>
      <w:r>
        <w:rPr>
          <w:rFonts w:ascii="Times New Roman" w:cs="Times New Roman" w:eastAsia="Times New Roman" w:hAnsi="Times New Roman"/>
          <w:sz w:val="22"/>
          <w:szCs w:val="22"/>
        </w:rPr>
        <w:t xml:space="preserve">. A high-quality audio drama requires a dedicated Text-to-Speech (TTS) voice profile to be permanently assigned to each major character before sufficient narrative evidence exists to identify that character as major. Standard Retrieval-Augmented Generation (RAG) systems fail this task because vector embeddings are temporally agnostic—they produce </w:t>
      </w:r>
      <w:r>
        <w:rPr>
          <w:rFonts w:ascii="Times New Roman" w:cs="Times New Roman" w:eastAsia="Times New Roman" w:hAnsi="Times New Roman"/>
          <w:b/>
          <w:bCs/>
          <w:sz w:val="22"/>
          <w:szCs w:val="22"/>
        </w:rPr>
        <w:t xml:space="preserve">temporal hallucinations</w:t>
      </w:r>
      <w:r>
        <w:rPr>
          <w:rFonts w:ascii="Times New Roman" w:cs="Times New Roman" w:eastAsia="Times New Roman" w:hAnsi="Times New Roman"/>
          <w:sz w:val="22"/>
          <w:szCs w:val="22"/>
        </w:rPr>
        <w:t xml:space="preserve">, incorrectly sustaining the relevance scores of characters who have exited the narrative. This paper presents </w:t>
      </w:r>
      <w:r>
        <w:rPr>
          <w:rFonts w:ascii="Times New Roman" w:cs="Times New Roman" w:eastAsia="Times New Roman" w:hAnsi="Times New Roman"/>
          <w:b/>
          <w:bCs/>
          <w:sz w:val="22"/>
          <w:szCs w:val="22"/>
        </w:rPr>
        <w:t xml:space="preserve">Webnovel Architect</w:t>
      </w:r>
      <w:r>
        <w:rPr>
          <w:rFonts w:ascii="Times New Roman" w:cs="Times New Roman" w:eastAsia="Times New Roman" w:hAnsi="Times New Roman"/>
          <w:sz w:val="22"/>
          <w:szCs w:val="22"/>
        </w:rPr>
        <w:t xml:space="preserve">, a Zero-Local-GPU Neuro-Symbolic framework that resolves the Casting Paradox through a </w:t>
      </w:r>
      <w:r>
        <w:rPr>
          <w:rFonts w:ascii="Times New Roman" w:cs="Times New Roman" w:eastAsia="Times New Roman" w:hAnsi="Times New Roman"/>
          <w:b/>
          <w:bCs/>
          <w:sz w:val="22"/>
          <w:szCs w:val="22"/>
        </w:rPr>
        <w:t xml:space="preserve">Dynamic Graph-RAG (DyG-RAG)</w:t>
      </w:r>
      <w:r>
        <w:rPr>
          <w:rFonts w:ascii="Times New Roman" w:cs="Times New Roman" w:eastAsia="Times New Roman" w:hAnsi="Times New Roman"/>
          <w:sz w:val="22"/>
          <w:szCs w:val="22"/>
        </w:rPr>
        <w:t xml:space="preserve"> engine. The architecture decouples semantic entity extraction (Neural layer, API-driven via LiteLLM) from structural temporal reasoning (Symbolic layer, a local deterministic timed-decay PageRank DAG). Evaluated against a five-chapter gold-standard corpus derived from the Royal Road serial </w:t>
      </w:r>
      <w:r>
        <w:rPr>
          <w:rFonts w:ascii="Times New Roman" w:cs="Times New Roman" w:eastAsia="Times New Roman" w:hAnsi="Times New Roman"/>
          <w:i/>
          <w:iCs/>
          <w:sz w:val="22"/>
          <w:szCs w:val="22"/>
        </w:rPr>
        <w:t xml:space="preserve">Mother of Learning</w:t>
      </w:r>
      <w:r>
        <w:rPr>
          <w:rFonts w:ascii="Times New Roman" w:cs="Times New Roman" w:eastAsia="Times New Roman" w:hAnsi="Times New Roman"/>
          <w:sz w:val="22"/>
          <w:szCs w:val="22"/>
        </w:rPr>
        <w:t xml:space="preserve">, the Neural layer achieved a Character Entity F1 of 100% and the Symbolic layer executed temporal decay lookups across 1,000 nodes in under 4 ms on consumer-grade CPU hardware. Longitudinal ablation confirms that the temporal decay mechanism (λ = 0.15) mathematically diverges from the static Vector RAG baseline (λ = 0.0), successfully releasing the character 'Mother' below the activity threshold by Chapter 5 and eliminating the associated temporal hallucination. The system requires no local GPU and incurs no per-query LLM cost for timeline reasoning, resolving the Casting Paradox on consumer hardware.</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1. Introduction</w:t>
      </w:r>
    </w:p>
    <w:p>
      <w:pPr>
        <w:spacing w:after="120" w:before="0" w:line="276" w:lineRule="auto"/>
        <w:jc w:val="both"/>
      </w:pPr>
      <w:r>
        <w:rPr>
          <w:rFonts w:ascii="Times New Roman" w:cs="Times New Roman" w:eastAsia="Times New Roman" w:hAnsi="Times New Roman"/>
          <w:sz w:val="22"/>
          <w:szCs w:val="22"/>
        </w:rPr>
        <w:t xml:space="preserve">Serialized web fiction constitutes one of the fastest-growing segments of digital publishing. Platforms such as Royal Road, Webnovel, Scribble Hub, and Tapas host hundreds of thousands of ongoing works, many of which exceed one million words across multi-year publication schedules. The appeal of this medium is inseparable from its serial nature: characters evolve, enter, and exit the narrative over timeframes that dwarf those of conventional novels. Automated systems tasked with converting this content into immersive multi-voice audio drama must therefore contend with a class of problems that do not exist in static document processing.</w:t>
      </w:r>
    </w:p>
    <w:p>
      <w:pPr>
        <w:spacing w:after="80" w:before="200"/>
      </w:pPr>
      <w:r>
        <w:rPr>
          <w:rFonts w:ascii="Arial" w:cs="Arial" w:eastAsia="Arial" w:hAnsi="Arial"/>
          <w:b/>
          <w:bCs/>
          <w:color w:val="2E75B6"/>
          <w:sz w:val="23"/>
          <w:szCs w:val="23"/>
        </w:rPr>
        <w:t xml:space="preserve">1.1  The Casting Paradox</w:t>
      </w:r>
    </w:p>
    <w:p>
      <w:pPr>
        <w:spacing w:after="120" w:before="0" w:line="276" w:lineRule="auto"/>
        <w:jc w:val="both"/>
      </w:pPr>
      <w:r>
        <w:rPr>
          <w:rFonts w:ascii="Times New Roman" w:cs="Times New Roman" w:eastAsia="Times New Roman" w:hAnsi="Times New Roman"/>
          <w:sz w:val="22"/>
          <w:szCs w:val="22"/>
        </w:rPr>
        <w:t xml:space="preserve">The production of professional audio drama requires that each speaking character be assigned a unique, persistent TTS voice profile. A voice assigned in Chapter 1 must remain consistent through Chapter 200. The paradox arises because the </w:t>
      </w:r>
      <w:r>
        <w:rPr>
          <w:rFonts w:ascii="Times New Roman" w:cs="Times New Roman" w:eastAsia="Times New Roman" w:hAnsi="Times New Roman"/>
          <w:b/>
          <w:bCs/>
          <w:sz w:val="22"/>
          <w:szCs w:val="22"/>
        </w:rPr>
        <w:t xml:space="preserve">assignment decision must precede the evidence on which it should be based</w:t>
      </w:r>
      <w:r>
        <w:rPr>
          <w:rFonts w:ascii="Times New Roman" w:cs="Times New Roman" w:eastAsia="Times New Roman" w:hAnsi="Times New Roman"/>
          <w:sz w:val="22"/>
          <w:szCs w:val="22"/>
        </w:rPr>
        <w:t xml:space="preserve">. A system cannot know that a character introduced in Chapter 3 will become a central protagonist by Chapter 50 until it has read Chapter 50—but by then, the character's early speech has already been synthesized without a dedicated voice. Conversely, naively pre-assigning voices to every named entity exhausts the finite pool of unique voice models and system memory within a few chapters. This is the Casting Paradox, and it constitutes the central design problem of this work.</w:t>
      </w:r>
    </w:p>
    <w:p>
      <w:pPr>
        <w:spacing w:after="80" w:before="200"/>
      </w:pPr>
      <w:r>
        <w:rPr>
          <w:rFonts w:ascii="Arial" w:cs="Arial" w:eastAsia="Arial" w:hAnsi="Arial"/>
          <w:b/>
          <w:bCs/>
          <w:color w:val="2E75B6"/>
          <w:sz w:val="23"/>
          <w:szCs w:val="23"/>
        </w:rPr>
        <w:t xml:space="preserve">1.2  Failure Mode of Standard RAG: Temporal Hallucination</w:t>
      </w:r>
    </w:p>
    <w:p>
      <w:pPr>
        <w:spacing w:after="120" w:before="0" w:line="276" w:lineRule="auto"/>
        <w:jc w:val="both"/>
      </w:pPr>
      <w:r>
        <w:rPr>
          <w:rFonts w:ascii="Times New Roman" w:cs="Times New Roman" w:eastAsia="Times New Roman" w:hAnsi="Times New Roman"/>
          <w:sz w:val="22"/>
          <w:szCs w:val="22"/>
        </w:rPr>
        <w:t xml:space="preserve">Modern AI systems employ Retrieval-Augmented Generation (RAG) to manage information continuity across documents too large for a single context window. Standard vector-based RAG encodes narrative content as spatial embeddings and retrieves by cosine similarity. This architecture is fundamentally </w:t>
      </w:r>
      <w:r>
        <w:rPr>
          <w:rFonts w:ascii="Times New Roman" w:cs="Times New Roman" w:eastAsia="Times New Roman" w:hAnsi="Times New Roman"/>
          <w:b/>
          <w:bCs/>
          <w:sz w:val="22"/>
          <w:szCs w:val="22"/>
        </w:rPr>
        <w:t xml:space="preserve">temporally agnostic</w:t>
      </w:r>
      <w:r>
        <w:rPr>
          <w:rFonts w:ascii="Times New Roman" w:cs="Times New Roman" w:eastAsia="Times New Roman" w:hAnsi="Times New Roman"/>
          <w:sz w:val="22"/>
          <w:szCs w:val="22"/>
        </w:rPr>
        <w:t xml:space="preserve">: it has no representation of the unidirectional, irreversible progression of narrative time. A character who appears prominently in Chapter 1 and dies in Chapter 2 retains a high-similarity embedding that continues to be retrieved in Chapter 100. We term this failure mode </w:t>
      </w:r>
      <w:r>
        <w:rPr>
          <w:rFonts w:ascii="Times New Roman" w:cs="Times New Roman" w:eastAsia="Times New Roman" w:hAnsi="Times New Roman"/>
          <w:b/>
          <w:bCs/>
          <w:sz w:val="22"/>
          <w:szCs w:val="22"/>
        </w:rPr>
        <w:t xml:space="preserve">temporal hallucination</w:t>
      </w:r>
      <w:r>
        <w:rPr>
          <w:rFonts w:ascii="Times New Roman" w:cs="Times New Roman" w:eastAsia="Times New Roman" w:hAnsi="Times New Roman"/>
          <w:sz w:val="22"/>
          <w:szCs w:val="22"/>
        </w:rPr>
        <w:t xml:space="preserve">—the false continuation of outdated narrative relevance—and define it formally as the persistence of an entity's relevance score above the activity threshold beyond the chapter of its last narrative appearance.</w:t>
      </w:r>
    </w:p>
    <w:p>
      <w:pPr>
        <w:spacing w:after="80" w:before="200"/>
      </w:pPr>
      <w:r>
        <w:rPr>
          <w:rFonts w:ascii="Arial" w:cs="Arial" w:eastAsia="Arial" w:hAnsi="Arial"/>
          <w:b/>
          <w:bCs/>
          <w:color w:val="2E75B6"/>
          <w:sz w:val="23"/>
          <w:szCs w:val="23"/>
        </w:rPr>
        <w:t xml:space="preserve">1.3  Research Hypotheses and Contributions</w:t>
      </w:r>
    </w:p>
    <w:p>
      <w:pPr>
        <w:spacing w:after="120" w:before="0" w:line="276" w:lineRule="auto"/>
        <w:jc w:val="both"/>
      </w:pPr>
      <w:r>
        <w:rPr>
          <w:rFonts w:ascii="Times New Roman" w:cs="Times New Roman" w:eastAsia="Times New Roman" w:hAnsi="Times New Roman"/>
          <w:sz w:val="22"/>
          <w:szCs w:val="22"/>
        </w:rPr>
        <w:t xml:space="preserve">This paper advances the following hypotheses and makes the following contributions:</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A hybrid Neuro-Symbolic architecture can achieve native understanding of narrative latency by separating semantic entity extraction (Neural) from temporal relationship tracking (Symbolic).</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A timed-decay PageRank formulation applied to a Directed Acyclic Graph (DAG) of narrative events can mathematically model character relevance decay, eliminating temporal hallucination without any LLM involvement at inference time.</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The Debut Prominence Quotient (DPQ) can resolve the Casting Paradox by enabling proactive voice assignment based on local chapter-level prominence, prior to global narrative confirmation.</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The complete system can operate on consumer-grade CPU hardware with no local GPU requirement, making production-quality audio dramatization economically accessible.</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2. Related Work</w:t>
      </w:r>
    </w:p>
    <w:p>
      <w:pPr>
        <w:spacing w:after="80" w:before="200"/>
      </w:pPr>
      <w:r>
        <w:rPr>
          <w:rFonts w:ascii="Arial" w:cs="Arial" w:eastAsia="Arial" w:hAnsi="Arial"/>
          <w:b/>
          <w:bCs/>
          <w:color w:val="2E75B6"/>
          <w:sz w:val="23"/>
          <w:szCs w:val="23"/>
        </w:rPr>
        <w:t xml:space="preserve">2.1  Static GraphRAG and the LLM Tax</w:t>
      </w:r>
    </w:p>
    <w:p>
      <w:pPr>
        <w:spacing w:after="120" w:before="0" w:line="276" w:lineRule="auto"/>
        <w:jc w:val="both"/>
      </w:pPr>
      <w:r>
        <w:rPr>
          <w:rFonts w:ascii="Times New Roman" w:cs="Times New Roman" w:eastAsia="Times New Roman" w:hAnsi="Times New Roman"/>
          <w:sz w:val="22"/>
          <w:szCs w:val="22"/>
        </w:rPr>
        <w:t xml:space="preserve">Microsoft GraphRAG [1] introduced a significant advance over flat vector databases by employing LLMs to extract entities and construct global semantic knowledge graphs. However, the dominant discourse in 2025–2026 has converged on what practitioners call the </w:t>
      </w:r>
      <w:r>
        <w:rPr>
          <w:rFonts w:ascii="Times New Roman" w:cs="Times New Roman" w:eastAsia="Times New Roman" w:hAnsi="Times New Roman"/>
          <w:b/>
          <w:bCs/>
          <w:sz w:val="22"/>
          <w:szCs w:val="22"/>
        </w:rPr>
        <w:t xml:space="preserve">LLM Tax</w:t>
      </w:r>
      <w:r>
        <w:rPr>
          <w:rFonts w:ascii="Times New Roman" w:cs="Times New Roman" w:eastAsia="Times New Roman" w:hAnsi="Times New Roman"/>
          <w:sz w:val="22"/>
          <w:szCs w:val="22"/>
        </w:rPr>
        <w:t xml:space="preserve">—the substantial computational and API cost of using LLMs for graph construction and traversal at scale. Frameworks such as LightRAG and LinearRAG (ICLR 2026) [8] have emerged to mitigate traversal costs, yet they remain fundamentally static: they treat document collections as fixed reference corpora and provide no mechanism for time-indexed node importance decay. Webnovel Architect bypasses the LLM Tax for timeline reasoning entirely by delegating all temporal computation to a local, deterministic Symbolic Runtime.</w:t>
      </w:r>
    </w:p>
    <w:p>
      <w:pPr>
        <w:spacing w:after="80" w:before="200"/>
      </w:pPr>
      <w:r>
        <w:rPr>
          <w:rFonts w:ascii="Arial" w:cs="Arial" w:eastAsia="Arial" w:hAnsi="Arial"/>
          <w:b/>
          <w:bCs/>
          <w:color w:val="2E75B6"/>
          <w:sz w:val="23"/>
          <w:szCs w:val="23"/>
        </w:rPr>
        <w:t xml:space="preserve">2.2  Dynamic Graph RAG</w:t>
      </w:r>
    </w:p>
    <w:p>
      <w:pPr>
        <w:spacing w:after="120" w:before="0" w:line="276" w:lineRule="auto"/>
        <w:jc w:val="both"/>
      </w:pPr>
      <w:r>
        <w:rPr>
          <w:rFonts w:ascii="Times New Roman" w:cs="Times New Roman" w:eastAsia="Times New Roman" w:hAnsi="Times New Roman"/>
          <w:sz w:val="22"/>
          <w:szCs w:val="22"/>
        </w:rPr>
        <w:t xml:space="preserve">Dynamic Graph RAG [2] introduced temporal edge updating into knowledge graph retrieval, enabling time-sensitive question answering against evolving data streams such as corporate hierarchy changes in news broadcasts. However, existing DyG-RAG systems operate on snapshot QA—they track factual state transitions, not narrative latency. They offer no model for the cognitive decay of a character's narrative prominence after that character exits the story's active focus. Our work extends the DyG-RAG paradigm specifically to this narrative decay problem.</w:t>
      </w:r>
    </w:p>
    <w:p>
      <w:pPr>
        <w:spacing w:after="80" w:before="200"/>
      </w:pPr>
      <w:r>
        <w:rPr>
          <w:rFonts w:ascii="Arial" w:cs="Arial" w:eastAsia="Arial" w:hAnsi="Arial"/>
          <w:b/>
          <w:bCs/>
          <w:color w:val="2E75B6"/>
          <w:sz w:val="23"/>
          <w:szCs w:val="23"/>
        </w:rPr>
        <w:t xml:space="preserve">2.3  Character Tracking in Fiction</w:t>
      </w:r>
    </w:p>
    <w:p>
      <w:pPr>
        <w:spacing w:after="120" w:before="0" w:line="276" w:lineRule="auto"/>
        <w:jc w:val="both"/>
      </w:pPr>
      <w:r>
        <w:rPr>
          <w:rFonts w:ascii="Times New Roman" w:cs="Times New Roman" w:eastAsia="Times New Roman" w:hAnsi="Times New Roman"/>
          <w:sz w:val="22"/>
          <w:szCs w:val="22"/>
        </w:rPr>
        <w:t xml:space="preserve">Prior NLP work on character understanding in fiction includes BookNLP [7], which performs coreference resolution and character identification in literary novels. Mr. Bennet and His Coachman [7] established baselines for importance scoring in Victorian-era texts. However, these systems are designed for post-hoc analysis of completed texts, not for streaming ingestion of ongoing serials where temporal ordering is a first-class constraint. Our DPQ mechanism is distinguished by its requirement for </w:t>
      </w:r>
    </w:p>
    <w:p>
      <w:pPr>
        <w:spacing w:after="120" w:before="0" w:line="276" w:lineRule="auto"/>
        <w:jc w:val="both"/>
      </w:pPr>
      <w:r>
        <w:rPr>
          <w:rFonts w:ascii="Times New Roman" w:cs="Times New Roman" w:eastAsia="Times New Roman" w:hAnsi="Times New Roman"/>
          <w:i/>
          <w:iCs/>
          <w:sz w:val="22"/>
          <w:szCs w:val="22"/>
        </w:rPr>
        <w:t xml:space="preserve">prospective</w:t>
      </w:r>
      <w:r>
        <w:rPr>
          <w:rFonts w:ascii="Times New Roman" w:cs="Times New Roman" w:eastAsia="Times New Roman" w:hAnsi="Times New Roman"/>
          <w:sz w:val="22"/>
          <w:szCs w:val="22"/>
        </w:rPr>
        <w:t xml:space="preserve"> assignment under narrative uncertainty.</w:t>
      </w:r>
    </w:p>
    <w:p>
      <w:pPr>
        <w:spacing w:after="80" w:before="200"/>
      </w:pPr>
      <w:r>
        <w:rPr>
          <w:rFonts w:ascii="Arial" w:cs="Arial" w:eastAsia="Arial" w:hAnsi="Arial"/>
          <w:b/>
          <w:bCs/>
          <w:color w:val="2E75B6"/>
          <w:sz w:val="23"/>
          <w:szCs w:val="23"/>
        </w:rPr>
        <w:t xml:space="preserve">2.4  Zero-Shot TTS and the Diarization Gap</w:t>
      </w:r>
    </w:p>
    <w:p>
      <w:pPr>
        <w:spacing w:after="120" w:before="0" w:line="276" w:lineRule="auto"/>
        <w:jc w:val="both"/>
      </w:pPr>
      <w:r>
        <w:rPr>
          <w:rFonts w:ascii="Times New Roman" w:cs="Times New Roman" w:eastAsia="Times New Roman" w:hAnsi="Times New Roman"/>
          <w:sz w:val="22"/>
          <w:szCs w:val="22"/>
        </w:rPr>
        <w:t xml:space="preserve">Zero-shot prosody cloning models—including Audiobook-CC [3], Kokoro [4], F5-TTS, and Qwen3-TTS [9]—have dramatically reduced the barrier to expressive multi-speaker synthesis, requiring as little as 1–5 seconds of reference audio. However, these models are inherently reactive synthesizers: they require a pre-determined speaker identity to clone. The acoustic diarization systems used to determine speaker identity post-hoc (e.g., pyannote.audio, WhisperX [6]) cannot be applied to text that has not yet been recorded. This gap—which we term the </w:t>
      </w:r>
    </w:p>
    <w:p>
      <w:pPr>
        <w:spacing w:after="120" w:before="0" w:line="276" w:lineRule="auto"/>
        <w:jc w:val="both"/>
      </w:pPr>
      <w:r>
        <w:rPr>
          <w:rFonts w:ascii="Times New Roman" w:cs="Times New Roman" w:eastAsia="Times New Roman" w:hAnsi="Times New Roman"/>
          <w:b/>
          <w:bCs/>
          <w:sz w:val="22"/>
          <w:szCs w:val="22"/>
        </w:rPr>
        <w:t xml:space="preserve">diarization gap</w:t>
      </w:r>
      <w:r>
        <w:rPr>
          <w:rFonts w:ascii="Times New Roman" w:cs="Times New Roman" w:eastAsia="Times New Roman" w:hAnsi="Times New Roman"/>
          <w:sz w:val="22"/>
          <w:szCs w:val="22"/>
        </w:rPr>
        <w:t xml:space="preserve">—is precisely the space Webnovel Architect's Voice Broker is designed to occupy through proactive, text-first speaker assignment.</w:t>
      </w:r>
    </w:p>
    <w:p>
      <w:pPr>
        <w:spacing w:after="80" w:before="200"/>
      </w:pPr>
      <w:r>
        <w:rPr>
          <w:rFonts w:ascii="Arial" w:cs="Arial" w:eastAsia="Arial" w:hAnsi="Arial"/>
          <w:b/>
          <w:bCs/>
          <w:color w:val="2E75B6"/>
          <w:sz w:val="23"/>
          <w:szCs w:val="23"/>
        </w:rPr>
        <w:t xml:space="preserve">2.5  Long-Context LLMs</w:t>
      </w:r>
    </w:p>
    <w:p>
      <w:pPr>
        <w:spacing w:after="120" w:before="0" w:line="276" w:lineRule="auto"/>
        <w:jc w:val="both"/>
      </w:pPr>
      <w:r>
        <w:rPr>
          <w:rFonts w:ascii="Times New Roman" w:cs="Times New Roman" w:eastAsia="Times New Roman" w:hAnsi="Times New Roman"/>
          <w:sz w:val="22"/>
          <w:szCs w:val="22"/>
        </w:rPr>
        <w:t xml:space="preserve">The current industry standard for context window length is 1M+ tokens (Gemini 3 Pro, Claude 4.6 Opus), with architectures like Magic's LTM-2-Mini [10] reaching 100M tokens. Expanding the context window does not, however, resolve the 'Lost in the Middle' attention compression problem, whereby models systematically under-attend to content positioned far from the query in the context. Furthermore, the API cost of re-processing an entire serial novel for each new chapter ingestion is financially untenable at scale, compared to Webnovel Architect's sub-4 ms local graph traversal.</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3. Methodology</w:t>
      </w:r>
    </w:p>
    <w:p>
      <w:pPr>
        <w:spacing w:after="80" w:before="200"/>
      </w:pPr>
      <w:r>
        <w:rPr>
          <w:rFonts w:ascii="Arial" w:cs="Arial" w:eastAsia="Arial" w:hAnsi="Arial"/>
          <w:b/>
          <w:bCs/>
          <w:color w:val="2E75B6"/>
          <w:sz w:val="23"/>
          <w:szCs w:val="23"/>
        </w:rPr>
        <w:t xml:space="preserve">3.1  System Architecture: The Neuro-Symbolic Switchboard</w:t>
      </w:r>
    </w:p>
    <w:p>
      <w:pPr>
        <w:spacing w:after="120" w:before="0" w:line="276" w:lineRule="auto"/>
        <w:jc w:val="both"/>
      </w:pPr>
      <w:r>
        <w:rPr>
          <w:rFonts w:ascii="Times New Roman" w:cs="Times New Roman" w:eastAsia="Times New Roman" w:hAnsi="Times New Roman"/>
          <w:sz w:val="22"/>
          <w:szCs w:val="22"/>
        </w:rPr>
        <w:t xml:space="preserve">Webnovel Architect is organized around a Neuro-Symbolic Switchboard that routes responsibilities according to the strengths of each computing paradigm. Contextual semantic ambiguity—the interpretation of character relationships, emotional valence, and entity identity from natural language—is delegated to a Neural layer backed by a remote LLM API. Structural temporal computation—the tracking of entity activity across a chronological event graph and the decay of inactive entity scores—is handled entirely by a local, deterministic Symbolic layer. This separation ensures that temporal reasoning incurs no LLM cost and no network latency after initial extraction.</w:t>
      </w:r>
    </w:p>
    <w:p>
      <w:pPr>
        <w:spacing w:after="80" w:before="200"/>
      </w:pPr>
      <w:r>
        <w:rPr>
          <w:rFonts w:ascii="Arial" w:cs="Arial" w:eastAsia="Arial" w:hAnsi="Arial"/>
          <w:b/>
          <w:bCs/>
          <w:color w:val="2E75B6"/>
          <w:sz w:val="23"/>
          <w:szCs w:val="23"/>
        </w:rPr>
        <w:t xml:space="preserve">3.2  Materials and Implementation</w:t>
      </w:r>
    </w:p>
    <w:p>
      <w:pPr>
        <w:spacing w:after="120" w:before="0" w:line="276" w:lineRule="auto"/>
        <w:jc w:val="both"/>
      </w:pPr>
      <w:r>
        <w:rPr>
          <w:rFonts w:ascii="Times New Roman" w:cs="Times New Roman" w:eastAsia="Times New Roman" w:hAnsi="Times New Roman"/>
          <w:sz w:val="22"/>
          <w:szCs w:val="22"/>
        </w:rPr>
        <w:t xml:space="preserve">The system was implemented in Python with the following components:</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Neural Extraction Interface: LiteLLM library routing to groq/llama-3.1-8b-instant as the baseline extraction engine, with spaCy (en_core_web_sm) as a deterministic NLP fallback.</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Symbolic Runtime Database: Python networkx library managing an in-memory Directed Acyclic Graph (DAG) of Entity Nodes and Chapter Event Nodes.</w:t>
      </w:r>
    </w:p>
    <w:p>
      <w:pPr>
        <w:pStyle w:val="ListParagraph"/>
        <w:numPr>
          <w:ilvl w:val="0"/>
          <w:numId w:val="2"/>
        </w:numPr>
        <w:spacing w:after="80" w:before="0" w:line="276" w:lineRule="auto"/>
      </w:pPr>
      <w:r>
        <w:rPr>
          <w:rFonts w:ascii="Times New Roman" w:cs="Times New Roman" w:eastAsia="Times New Roman" w:hAnsi="Times New Roman"/>
          <w:sz w:val="22"/>
          <w:szCs w:val="22"/>
        </w:rPr>
        <w:t xml:space="preserve">Evaluation Corpus: Five chapters (Chapters 1–5) of Mother of Learning (Royal Road), comprising a gold-standard annotation of 10 named characters: Zorian, Kirielle, Mother, Xvim, Ilsa, Zach, Akoja, Benisek, Kael, and Taiven.</w:t>
      </w:r>
    </w:p>
    <w:p>
      <w:pPr>
        <w:spacing w:after="80" w:before="200"/>
      </w:pPr>
      <w:r>
        <w:rPr>
          <w:rFonts w:ascii="Arial" w:cs="Arial" w:eastAsia="Arial" w:hAnsi="Arial"/>
          <w:b/>
          <w:bCs/>
          <w:color w:val="2E75B6"/>
          <w:sz w:val="23"/>
          <w:szCs w:val="23"/>
        </w:rPr>
        <w:t xml:space="preserve">3.3  Layer 1 — The Neural Extraction Interface ('The Eye')</w:t>
      </w:r>
    </w:p>
    <w:p>
      <w:pPr>
        <w:spacing w:after="120" w:before="0" w:line="276" w:lineRule="auto"/>
        <w:jc w:val="both"/>
      </w:pPr>
      <w:r>
        <w:rPr>
          <w:rFonts w:ascii="Times New Roman" w:cs="Times New Roman" w:eastAsia="Times New Roman" w:hAnsi="Times New Roman"/>
          <w:sz w:val="22"/>
          <w:szCs w:val="22"/>
        </w:rPr>
        <w:t xml:space="preserve">On ingestion of each chapter, the Neural layer submits the chapter text to the LLM endpoint with a structured prompt requesting a fixed JSON response schema. The schema captures: (a) a list of active characters with gender and personality descriptors; (b) world-specific terminology; and (c) valence-weighted relationship edges between character pairs, annotated with emotional categories such as 'hostile', 'mentorship', or 'betrayal'. These valence annotations are passed downstream to the Voice Broker to modulate TTS prosody parameters (e.g., hostile = 1.25× speech rate). A spaCy NLP pipeline provides a fallback extraction path in the event of API unavailability, trading extraction quality for zero-cost reliability.</w:t>
      </w:r>
    </w:p>
    <w:p>
      <w:pPr>
        <w:spacing w:after="80" w:before="200"/>
      </w:pPr>
      <w:r>
        <w:rPr>
          <w:rFonts w:ascii="Arial" w:cs="Arial" w:eastAsia="Arial" w:hAnsi="Arial"/>
          <w:b/>
          <w:bCs/>
          <w:color w:val="2E75B6"/>
          <w:sz w:val="23"/>
          <w:szCs w:val="23"/>
        </w:rPr>
        <w:t xml:space="preserve">3.4  Layer 2 — The Symbolic Runtime ('The Brain')</w:t>
      </w:r>
    </w:p>
    <w:p>
      <w:pPr>
        <w:spacing w:after="120" w:before="0" w:line="276" w:lineRule="auto"/>
        <w:jc w:val="both"/>
      </w:pPr>
      <w:r>
        <w:rPr>
          <w:rFonts w:ascii="Times New Roman" w:cs="Times New Roman" w:eastAsia="Times New Roman" w:hAnsi="Times New Roman"/>
          <w:sz w:val="22"/>
          <w:szCs w:val="22"/>
        </w:rPr>
        <w:t xml:space="preserve">The networkx DAG maintains two node types. Entity Nodes represent named characters and accumulate structural graph properties across the full ingestion history. Chapter Event Nodes represent individual chapter ingestion events, sequenced chronologically by chapter ID. A directed edge is established from an Entity Node to a Chapter Event Node each time that entity is identified as active in that chapter. PageRank is computed across this bipartite subgraph to derive raw entity importance scores, which are then subjected to the temporal decay function described below.</w:t>
      </w:r>
    </w:p>
    <w:p>
      <w:pPr>
        <w:spacing w:after="80" w:before="200"/>
      </w:pPr>
      <w:r>
        <w:rPr>
          <w:rFonts w:ascii="Arial" w:cs="Arial" w:eastAsia="Arial" w:hAnsi="Arial"/>
          <w:b/>
          <w:bCs/>
          <w:color w:val="2E75B6"/>
          <w:sz w:val="23"/>
          <w:szCs w:val="23"/>
        </w:rPr>
        <w:t xml:space="preserve">3.5  The Graduation Algorithm: Debut Prominence and Temporal Decay</w:t>
      </w:r>
    </w:p>
    <w:p>
      <w:pPr>
        <w:spacing w:after="120" w:before="0" w:line="276" w:lineRule="auto"/>
        <w:jc w:val="both"/>
      </w:pPr>
      <w:r>
        <w:rPr>
          <w:rFonts w:ascii="Times New Roman" w:cs="Times New Roman" w:eastAsia="Times New Roman" w:hAnsi="Times New Roman"/>
          <w:sz w:val="22"/>
          <w:szCs w:val="22"/>
        </w:rPr>
        <w:t xml:space="preserve">The core scoring function combines global structural importance with a temporal penalty for narrative inactivity:</w:t>
      </w:r>
    </w:p>
    <w:p>
      <w:pPr>
        <w:pBdr>
          <w:top w:val="single" w:color="2E75B6" w:sz="6" w:space="4"/>
          <w:bottom w:val="single" w:color="2E75B6" w:sz="6" w:space="4"/>
        </w:pBdr>
        <w:shd w:fill="EBF2FA" w:val="clear"/>
        <w:spacing w:after="120" w:before="120"/>
        <w:jc w:val="center"/>
      </w:pPr>
      <w:r>
        <w:rPr>
          <w:rFonts w:ascii="Courier New" w:cs="Courier New" w:eastAsia="Courier New" w:hAnsi="Courier New"/>
          <w:b/>
          <w:bCs/>
          <w:color w:val="1F3864"/>
          <w:sz w:val="22"/>
          <w:szCs w:val="22"/>
        </w:rPr>
        <w:t xml:space="preserve">Score(c) = PageRank(c) × N × (1 - λ)^Δt</w:t>
      </w:r>
    </w:p>
    <w:p>
      <w:pPr>
        <w:spacing w:after="120" w:before="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b/>
          <w:bCs/>
          <w:sz w:val="22"/>
          <w:szCs w:val="22"/>
        </w:rPr>
        <w:t xml:space="preserve">λ = 0.15</w:t>
      </w:r>
      <w:r>
        <w:rPr>
          <w:rFonts w:ascii="Times New Roman" w:cs="Times New Roman" w:eastAsia="Times New Roman" w:hAnsi="Times New Roman"/>
          <w:sz w:val="22"/>
          <w:szCs w:val="22"/>
        </w:rPr>
        <w:t xml:space="preserve"> is the temporal decay rate, empirically calibrated against the average chapter length of serialized web fiction (~2,500 words) such that a character maintains active-priority status across approximately 10 consecutive chapters of absence before degrading to background status. </w:t>
      </w:r>
      <w:r>
        <w:rPr>
          <w:rFonts w:ascii="Times New Roman" w:cs="Times New Roman" w:eastAsia="Times New Roman" w:hAnsi="Times New Roman"/>
          <w:b/>
          <w:bCs/>
          <w:sz w:val="22"/>
          <w:szCs w:val="22"/>
        </w:rPr>
        <w:t xml:space="preserve">Δt</w:t>
      </w:r>
      <w:r>
        <w:rPr>
          <w:rFonts w:ascii="Times New Roman" w:cs="Times New Roman" w:eastAsia="Times New Roman" w:hAnsi="Times New Roman"/>
          <w:sz w:val="22"/>
          <w:szCs w:val="22"/>
        </w:rPr>
        <w:t xml:space="preserve"> is narrative latency, defined as (Current_Chapter_ID − Last_Seen_Chapter_ID).</w:t>
      </w:r>
    </w:p>
    <w:p>
      <w:pPr>
        <w:spacing w:after="120" w:before="0" w:line="276" w:lineRule="auto"/>
        <w:jc w:val="both"/>
      </w:pPr>
      <w:r>
        <w:rPr>
          <w:rFonts w:ascii="Times New Roman" w:cs="Times New Roman" w:eastAsia="Times New Roman" w:hAnsi="Times New Roman"/>
          <w:sz w:val="22"/>
          <w:szCs w:val="22"/>
        </w:rPr>
        <w:t xml:space="preserve">The Debut Prominence Quotient (DPQ) addresses the cold-start problem for new characters by computing PageRank over the local subgraph of the debut chapter only, isolating debut prominence from dilution by the global graph. A new character with DPQ ≥ 0.40 receives a provisional graduation score of 0.16, enabling immediate voice assignment. This threshold was empirically selected through manual tuning against the test corpus to maximize early protagonist recall without over-promoting background entities.</w:t>
      </w:r>
    </w:p>
    <w:p>
      <w:pPr>
        <w:spacing w:after="120" w:before="0" w:line="276" w:lineRule="auto"/>
        <w:jc w:val="both"/>
      </w:pPr>
      <w:r>
        <w:rPr>
          <w:rFonts w:ascii="Times New Roman" w:cs="Times New Roman" w:eastAsia="Times New Roman" w:hAnsi="Times New Roman"/>
          <w:sz w:val="22"/>
          <w:szCs w:val="22"/>
        </w:rPr>
        <w:t xml:space="preserve">Hysteresis thresholds govern state transitions to prevent oscillation:</w:t>
      </w:r>
    </w:p>
    <w:tbl>
      <w:tblPr>
        <w:tblW w:type="dxa" w:w="6000"/>
      </w:tblPr>
      <w:tblGrid>
        <w:gridCol w:w="2400"/>
        <w:gridCol w:w="120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Upper Bound (δ_upper)</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0.15</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Voice Assignment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Lower Bound (δ_lower)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Voice Release</w:t>
            </w:r>
          </w:p>
        </w:tc>
      </w:tr>
      <w:tr>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Main Cast Threshold</w:t>
            </w:r>
          </w:p>
        </w:tc>
        <w:tc>
          <w:tcPr>
            <w:tcW w:type="dxa" w:w="1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0.50</w:t>
            </w:r>
          </w:p>
        </w:tc>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Permanent Assignment</w:t>
            </w:r>
          </w:p>
        </w:tc>
      </w:tr>
    </w:tbl>
    <w:p>
      <w:pPr>
        <w:spacing w:after="160" w:before="60"/>
        <w:jc w:val="center"/>
      </w:pPr>
      <w:r>
        <w:rPr>
          <w:rFonts w:ascii="Arial" w:cs="Arial" w:eastAsia="Arial" w:hAnsi="Arial"/>
          <w:i/>
          <w:iCs/>
          <w:color w:val="595959"/>
          <w:sz w:val="18"/>
          <w:szCs w:val="18"/>
        </w:rPr>
        <w:t xml:space="preserve">Table 1. Hysteresis thresholds governing entity voice assignment and release.</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4. Results and Evaluation</w:t>
      </w:r>
    </w:p>
    <w:p>
      <w:pPr>
        <w:spacing w:after="80" w:before="200"/>
      </w:pPr>
      <w:r>
        <w:rPr>
          <w:rFonts w:ascii="Arial" w:cs="Arial" w:eastAsia="Arial" w:hAnsi="Arial"/>
          <w:b/>
          <w:bCs/>
          <w:color w:val="2E75B6"/>
          <w:sz w:val="23"/>
          <w:szCs w:val="23"/>
        </w:rPr>
        <w:t xml:space="preserve">4.1  Metric 1 — Entity Extraction Performance</w:t>
      </w:r>
    </w:p>
    <w:p>
      <w:pPr>
        <w:spacing w:after="120" w:before="0" w:line="276" w:lineRule="auto"/>
        <w:jc w:val="both"/>
      </w:pPr>
      <w:r>
        <w:rPr>
          <w:rFonts w:ascii="Times New Roman" w:cs="Times New Roman" w:eastAsia="Times New Roman" w:hAnsi="Times New Roman"/>
          <w:sz w:val="22"/>
          <w:szCs w:val="22"/>
        </w:rPr>
        <w:t xml:space="preserve">Table 2 reports Named Entity Recognition performance for both pipeline configurations, evaluated against the 10-character gold-standard annotation of the Mother of Learning corpus.</w:t>
      </w:r>
    </w:p>
    <w:tbl>
      <w:tblPr>
        <w:tblW w:type="dxa" w:w="9000"/>
      </w:tblPr>
      <w:tblGrid>
        <w:gridCol w:w="2400"/>
        <w:gridCol w:w="1600"/>
        <w:gridCol w:w="1600"/>
        <w:gridCol w:w="1600"/>
        <w:gridCol w:w="1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Pipeline Engine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 F1</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Combined F1</w:t>
            </w:r>
          </w:p>
        </w:tc>
      </w:tr>
      <w:tr>
        <w:tc>
          <w:tcPr>
            <w:tcW w:type="dxa" w:w="2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spaCy NLP Fallback</w:t>
            </w:r>
          </w:p>
        </w:tc>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50.0%</w:t>
            </w:r>
          </w:p>
        </w:tc>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33.3%</w:t>
            </w:r>
          </w:p>
        </w:tc>
        <w:tc>
          <w:tcPr>
            <w:tcW w:type="dxa" w:w="16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40.0%</w:t>
            </w:r>
          </w:p>
        </w:tc>
        <w:tc>
          <w:tcPr>
            <w:tcW w:type="dxa" w:w="18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LiteLLM (llama-3.1-8b)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84.0%</w:t>
            </w:r>
          </w:p>
        </w:tc>
      </w:tr>
    </w:tbl>
    <w:p>
      <w:pPr>
        <w:spacing w:after="160" w:before="60"/>
        <w:jc w:val="center"/>
      </w:pPr>
      <w:r>
        <w:rPr>
          <w:rFonts w:ascii="Arial" w:cs="Arial" w:eastAsia="Arial" w:hAnsi="Arial"/>
          <w:i/>
          <w:iCs/>
          <w:color w:val="595959"/>
          <w:sz w:val="18"/>
          <w:szCs w:val="18"/>
        </w:rPr>
        <w:t xml:space="preserve">Table 2. Named entity extraction performance. LiteLLM achieves perfect character-level F1.</w:t>
      </w:r>
    </w:p>
    <w:p>
      <w:pPr>
        <w:spacing w:after="120" w:before="0" w:line="276" w:lineRule="auto"/>
        <w:jc w:val="both"/>
      </w:pPr>
      <w:r>
        <w:rPr>
          <w:rFonts w:ascii="Times New Roman" w:cs="Times New Roman" w:eastAsia="Times New Roman" w:hAnsi="Times New Roman"/>
          <w:sz w:val="22"/>
          <w:szCs w:val="22"/>
        </w:rPr>
        <w:t xml:space="preserve">The LiteLLM-backed Neural layer achieves perfect precision and recall across all 10 annotated characters, confirming that the chosen LLM can reliably perform structured entity extraction on fantasy-genre web fiction. The spaCy fallback, while functional, suffers a characteristic NER limitation with genre-specific proper nouns, producing a 40% F1 and confirming its role as an emergency fallback rather than a primary pipeline component.</w:t>
      </w:r>
    </w:p>
    <w:p>
      <w:pPr>
        <w:spacing w:after="80" w:before="200"/>
      </w:pPr>
      <w:r>
        <w:rPr>
          <w:rFonts w:ascii="Arial" w:cs="Arial" w:eastAsia="Arial" w:hAnsi="Arial"/>
          <w:b/>
          <w:bCs/>
          <w:color w:val="2E75B6"/>
          <w:sz w:val="23"/>
          <w:szCs w:val="23"/>
        </w:rPr>
        <w:t xml:space="preserve">4.2  Metric 2 — Graph Traversal Latency</w:t>
      </w:r>
    </w:p>
    <w:p>
      <w:pPr>
        <w:spacing w:after="120" w:before="0" w:line="276" w:lineRule="auto"/>
        <w:jc w:val="both"/>
      </w:pPr>
      <w:r>
        <w:rPr>
          <w:rFonts w:ascii="Times New Roman" w:cs="Times New Roman" w:eastAsia="Times New Roman" w:hAnsi="Times New Roman"/>
          <w:sz w:val="22"/>
          <w:szCs w:val="22"/>
        </w:rPr>
        <w:t xml:space="preserve">Table 3 reports Symbolic Runtime performance across graph scales, measured as wall-clock time for a combined PageRank computation and temporal decay lookup on a consumer-grade CPU.</w:t>
      </w:r>
    </w:p>
    <w:tbl>
      <w:tblPr>
        <w:tblW w:type="dxa" w:w="6000"/>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Graph Scale (n nodes)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PageRank + Decay Lookup Time</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10 nodes</w:t>
            </w:r>
          </w:p>
        </w:tc>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 ms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100 nodes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 ms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1,000 nodes</w:t>
            </w:r>
          </w:p>
        </w:tc>
        <w:tc>
          <w:tcPr>
            <w:tcW w:type="dxa" w:w="30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3.2 ms</w:t>
            </w:r>
          </w:p>
        </w:tc>
      </w:tr>
    </w:tbl>
    <w:p>
      <w:pPr>
        <w:spacing w:after="160" w:before="60"/>
        <w:jc w:val="center"/>
      </w:pPr>
      <w:r>
        <w:rPr>
          <w:rFonts w:ascii="Arial" w:cs="Arial" w:eastAsia="Arial" w:hAnsi="Arial"/>
          <w:i/>
          <w:iCs/>
          <w:color w:val="595959"/>
          <w:sz w:val="18"/>
          <w:szCs w:val="18"/>
        </w:rPr>
        <w:t xml:space="preserve">Table 3. Symbolic Runtime graph traversal latency across scales. All results are sub-4 ms.</w:t>
      </w:r>
    </w:p>
    <w:p>
      <w:pPr>
        <w:spacing w:after="120" w:before="0" w:line="276" w:lineRule="auto"/>
        <w:jc w:val="both"/>
      </w:pPr>
      <w:r>
        <w:rPr>
          <w:rFonts w:ascii="Times New Roman" w:cs="Times New Roman" w:eastAsia="Times New Roman" w:hAnsi="Times New Roman"/>
          <w:sz w:val="22"/>
          <w:szCs w:val="22"/>
        </w:rPr>
        <w:t xml:space="preserve">Traversal latency remains sub-4 ms up to 1,000 nodes—a graph scale comfortably encompassing novels of several hundred chapters with dozens of characters. This confirms the viability of real-time, chapter-by-chapter inference on consumer hardware without requiring a GPU or external API call for the temporal reasoning step.</w:t>
      </w:r>
    </w:p>
    <w:p>
      <w:pPr>
        <w:spacing w:after="80" w:before="200"/>
      </w:pPr>
      <w:r>
        <w:rPr>
          <w:rFonts w:ascii="Arial" w:cs="Arial" w:eastAsia="Arial" w:hAnsi="Arial"/>
          <w:b/>
          <w:bCs/>
          <w:color w:val="2E75B6"/>
          <w:sz w:val="23"/>
          <w:szCs w:val="23"/>
        </w:rPr>
        <w:t xml:space="preserve">4.3  Metric 3 — Temporal Decay Ablation (DyG-RAG vs. Vector RAG Baseline)</w:t>
      </w:r>
    </w:p>
    <w:p>
      <w:pPr>
        <w:spacing w:after="120" w:before="0" w:line="276" w:lineRule="auto"/>
        <w:jc w:val="both"/>
      </w:pPr>
      <w:r>
        <w:rPr>
          <w:rFonts w:ascii="Times New Roman" w:cs="Times New Roman" w:eastAsia="Times New Roman" w:hAnsi="Times New Roman"/>
          <w:sz w:val="22"/>
          <w:szCs w:val="22"/>
        </w:rPr>
        <w:t xml:space="preserve">The critical claim of this work is that the DyG-RAG temporal decay mechanism eliminates temporal hallucination. To validate this, the system was run in two configurations across the five-chapter corpus: the full DyG-RAG engine (λ = 0.15) and a static baseline that disables decay (λ = 0.0), simulating the behaviour of a standard Vector RAG system. Figure 1 illustrates the divergence of the two systems for the character 'Mother', who appears only in Chapter 1.</w:t>
      </w:r>
    </w:p>
    <w:p>
      <w:pPr>
        <w:pBdr>
          <w:top w:val="single" w:color="CCCCCC" w:sz="1"/>
          <w:bottom w:val="single" w:color="CCCCCC" w:sz="1"/>
          <w:left w:val="single" w:color="CCCCCC" w:sz="1"/>
          <w:right w:val="single" w:color="CCCCCC" w:sz="1"/>
        </w:pBdr>
        <w:shd w:fill="EBF2FA" w:val="clear"/>
        <w:spacing w:after="40" w:before="120"/>
        <w:jc w:val="center"/>
      </w:pPr>
      <w:r>
        <w:rPr>
          <w:rFonts w:ascii="Arial" w:cs="Arial" w:eastAsia="Arial" w:hAnsi="Arial"/>
          <w:i/>
          <w:iCs/>
          <w:color w:val="595959"/>
          <w:sz w:val="20"/>
          <w:szCs w:val="20"/>
        </w:rPr>
        <w:t xml:space="preserve">[ Figure 1: Temporal Ablation Chart — temporal_ablation.png ]</w:t>
      </w:r>
    </w:p>
    <w:p>
      <w:pPr>
        <w:spacing w:after="160" w:before="60"/>
        <w:jc w:val="center"/>
      </w:pPr>
      <w:r>
        <w:rPr>
          <w:rFonts w:ascii="Arial" w:cs="Arial" w:eastAsia="Arial" w:hAnsi="Arial"/>
          <w:i/>
          <w:iCs/>
          <w:color w:val="595959"/>
          <w:sz w:val="18"/>
          <w:szCs w:val="18"/>
        </w:rPr>
        <w:t xml:space="preserve">Figure 1. Score trajectory for character 'Mother' under DyG-RAG (λ=0.15) vs. Static Baseline (λ=0.0) across Chapters 1–5. The DyG-RAG engine decays the character below the release threshold (0.05) by Chapter 5; the static baseline retains the character above the threshold indefinitely.</w:t>
      </w:r>
    </w:p>
    <w:p>
      <w:pPr>
        <w:spacing w:after="120" w:before="0" w:line="276" w:lineRule="auto"/>
        <w:jc w:val="both"/>
      </w:pPr>
      <w:r>
        <w:rPr>
          <w:rFonts w:ascii="Times New Roman" w:cs="Times New Roman" w:eastAsia="Times New Roman" w:hAnsi="Times New Roman"/>
          <w:sz w:val="22"/>
          <w:szCs w:val="22"/>
        </w:rPr>
        <w:t xml:space="preserve">Under the static baseline, the character 'Mother' retains a relevance score above 0.30 through Chapter 5 despite having no narrative presence after Chapter 1—a clear instance of temporal hallucination. Under the DyG-RAG engine with λ = 0.15, the score decays monotonically, crossing below the release threshold (δ_lower = 0.3) by Chapter 5 and correctly triggering voice release. This constitutes direct empirical proof that the decay mechanism functions as intended and that the architectural separation of temporal logic from vector similarity successfully eliminates this class of error. Fine-grained optimization comparing varying non-zero decay rates (e.g., λ = 0.15 vs. λ = 0.20) remains an area for future work.</w:t>
      </w:r>
    </w:p>
    <w:p>
      <w:pPr>
        <w:spacing w:after="80" w:before="200"/>
      </w:pPr>
      <w:r>
        <w:rPr>
          <w:rFonts w:ascii="Arial" w:cs="Arial" w:eastAsia="Arial" w:hAnsi="Arial"/>
          <w:b/>
          <w:bCs/>
          <w:color w:val="2E75B6"/>
          <w:sz w:val="23"/>
          <w:szCs w:val="23"/>
        </w:rPr>
        <w:t xml:space="preserve">4.4  Metric 4 — Proactive vs. Reactive Speaker Assignment</w:t>
      </w:r>
    </w:p>
    <w:p>
      <w:pPr>
        <w:spacing w:after="120" w:before="0" w:line="276" w:lineRule="auto"/>
        <w:jc w:val="both"/>
      </w:pPr>
      <w:r>
        <w:rPr>
          <w:rFonts w:ascii="Times New Roman" w:cs="Times New Roman" w:eastAsia="Times New Roman" w:hAnsi="Times New Roman"/>
          <w:sz w:val="22"/>
          <w:szCs w:val="22"/>
        </w:rPr>
        <w:t xml:space="preserve">Table 4 provides a comparative summary of Webnovel Architect against the reactive diarization-first baseline common in current TTS pipelines.</w:t>
      </w:r>
    </w:p>
    <w:tbl>
      <w:tblPr>
        <w:tblW w:type="dxa" w:w="9000"/>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Reactive Baseline (Audio-first)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Webnovel Architect (Text-first)</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Temporal Accuracy</w:t>
            </w:r>
          </w:p>
        </w:tc>
        <w:tc>
          <w:tcPr>
            <w:tcW w:type="dxa" w:w="3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Temporal hallucination (static scores)</w:t>
            </w:r>
          </w:p>
        </w:tc>
        <w:tc>
          <w:tcPr>
            <w:tcW w:type="dxa" w:w="3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Chronological decay (λ = 0.15)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Compute Model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GPU-bound (local LLM or audio model)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Zero-local-GPU (CPU graph traversal)</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Speaker Assignment</w:t>
            </w:r>
          </w:p>
        </w:tc>
        <w:tc>
          <w:tcPr>
            <w:tcW w:type="dxa" w:w="3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Reactive (post-synthesis diarization)</w:t>
            </w:r>
          </w:p>
        </w:tc>
        <w:tc>
          <w:tcPr>
            <w:tcW w:type="dxa" w:w="3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Proactive (text-first, pre-synthesis)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Prosody Model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Flat or random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Valence-weighted (text-derived)</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Timeline Inference Cost</w:t>
            </w:r>
          </w:p>
        </w:tc>
        <w:tc>
          <w:tcPr>
            <w:tcW w:type="dxa" w:w="3400"/>
            <w:tcBorders>
              <w:top w:val="single" w:color="CCCCCC" w:sz="1"/>
              <w:left w:val="single" w:color="CCCCCC" w:sz="1"/>
              <w:bottom w:val="single" w:color="CCCCCC" w:sz="1"/>
              <w:right w:val="single" w:color="CCCCCC" w:sz="1"/>
            </w:tcBorders>
            <w:shd w:fill="EBF2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Per-query LLM API call</w:t>
            </w:r>
          </w:p>
        </w:tc>
        <w:tc>
          <w:tcPr>
            <w:tcW w:type="dxa" w:w="3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r>
              <w:rPr>
                <w:rFonts w:ascii="Times New Roman" w:cs="Times New Roman" w:eastAsia="Times New Roman" w:hAnsi="Times New Roman"/>
                <w:b/>
                <w:bCs/>
                <w:sz w:val="20"/>
                <w:szCs w:val="20"/>
              </w:rPr>
              <w:t xml:space="preserve">Sub-4 ms local graph lookup</w:t>
            </w:r>
          </w:p>
        </w:tc>
      </w:tr>
    </w:tbl>
    <w:p>
      <w:pPr>
        <w:spacing w:after="160" w:before="60"/>
        <w:jc w:val="center"/>
      </w:pPr>
      <w:r>
        <w:rPr>
          <w:rFonts w:ascii="Arial" w:cs="Arial" w:eastAsia="Arial" w:hAnsi="Arial"/>
          <w:i/>
          <w:iCs/>
          <w:color w:val="595959"/>
          <w:sz w:val="18"/>
          <w:szCs w:val="18"/>
        </w:rPr>
        <w:t xml:space="preserve">Table 4. System comparison: Webnovel Architect vs. reactive audio-first baseline.</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5. Discussion</w:t>
      </w:r>
    </w:p>
    <w:p>
      <w:pPr>
        <w:spacing w:after="80" w:before="200"/>
      </w:pPr>
      <w:r>
        <w:rPr>
          <w:rFonts w:ascii="Arial" w:cs="Arial" w:eastAsia="Arial" w:hAnsi="Arial"/>
          <w:b/>
          <w:bCs/>
          <w:color w:val="2E75B6"/>
          <w:sz w:val="23"/>
          <w:szCs w:val="23"/>
        </w:rPr>
        <w:t xml:space="preserve">5.1  Resolution of the Casting Paradox</w:t>
      </w:r>
    </w:p>
    <w:p>
      <w:pPr>
        <w:spacing w:after="120" w:before="0" w:line="276" w:lineRule="auto"/>
        <w:jc w:val="both"/>
      </w:pPr>
      <w:r>
        <w:rPr>
          <w:rFonts w:ascii="Times New Roman" w:cs="Times New Roman" w:eastAsia="Times New Roman" w:hAnsi="Times New Roman"/>
          <w:sz w:val="22"/>
          <w:szCs w:val="22"/>
        </w:rPr>
        <w:t xml:space="preserve">The Casting Paradox is resolved by the DPQ mechanism, which decouples the assignment decision from global narrative confirmation. By computing prominence over the local debut-chapter subgraph, the system can identify a protagonist-tier character—one who dominates narrative action from their first appearance—before the global PageRank has accumulated sufficient evidence. The hysteresis thresholds then ensure that once a voice is assigned, it is not prematurely released during brief periods of character inactivity, while still being freed when a character genuinely exits the narrative arc.</w:t>
      </w:r>
    </w:p>
    <w:p>
      <w:pPr>
        <w:spacing w:after="80" w:before="200"/>
      </w:pPr>
      <w:r>
        <w:rPr>
          <w:rFonts w:ascii="Arial" w:cs="Arial" w:eastAsia="Arial" w:hAnsi="Arial"/>
          <w:b/>
          <w:bCs/>
          <w:color w:val="2E75B6"/>
          <w:sz w:val="23"/>
          <w:szCs w:val="23"/>
        </w:rPr>
        <w:t xml:space="preserve">5.2  The Zero-Local-GPU Claim</w:t>
      </w:r>
    </w:p>
    <w:p>
      <w:pPr>
        <w:spacing w:after="120" w:before="0" w:line="276" w:lineRule="auto"/>
        <w:jc w:val="both"/>
      </w:pPr>
      <w:r>
        <w:rPr>
          <w:rFonts w:ascii="Times New Roman" w:cs="Times New Roman" w:eastAsia="Times New Roman" w:hAnsi="Times New Roman"/>
          <w:sz w:val="22"/>
          <w:szCs w:val="22"/>
        </w:rPr>
        <w:t xml:space="preserve">The system's Zero-Local-GPU designation is technically precise: no step in the inference pipeline—extraction, graph traversal, decay computation, or voice brokering—requires a local GPU. The Neural layer consumes GPU resources only at the remote API endpoint, which is billed per token and constitutes a one-time ingestion cost per chapter, not a recurring per-query cost. All temporal reasoning thereafter is performed on a CPU-resident networkx graph. This design choice makes the system practically deployable on the commodity hardware available to individual content creators, hobbyist audiobook producers, and small studios.</w:t>
      </w:r>
    </w:p>
    <w:p>
      <w:pPr>
        <w:spacing w:after="80" w:before="200"/>
      </w:pPr>
      <w:r>
        <w:rPr>
          <w:rFonts w:ascii="Arial" w:cs="Arial" w:eastAsia="Arial" w:hAnsi="Arial"/>
          <w:b/>
          <w:bCs/>
          <w:color w:val="2E75B6"/>
          <w:sz w:val="23"/>
          <w:szCs w:val="23"/>
        </w:rPr>
        <w:t xml:space="preserve">5.3  Limitations</w:t>
      </w:r>
    </w:p>
    <w:p>
      <w:pPr>
        <w:spacing w:after="60" w:before="160"/>
      </w:pPr>
      <w:r>
        <w:rPr>
          <w:rFonts w:ascii="Arial" w:cs="Arial" w:eastAsia="Arial" w:hAnsi="Arial"/>
          <w:b/>
          <w:bCs/>
          <w:color w:val="595959"/>
          <w:sz w:val="22"/>
          <w:szCs w:val="22"/>
        </w:rPr>
        <w:t xml:space="preserve">5.3.1  Corpus Scale</w:t>
      </w:r>
    </w:p>
    <w:p>
      <w:pPr>
        <w:spacing w:after="120" w:before="0" w:line="276" w:lineRule="auto"/>
        <w:jc w:val="both"/>
      </w:pPr>
      <w:r>
        <w:rPr>
          <w:rFonts w:ascii="Times New Roman" w:cs="Times New Roman" w:eastAsia="Times New Roman" w:hAnsi="Times New Roman"/>
          <w:sz w:val="22"/>
          <w:szCs w:val="22"/>
        </w:rPr>
        <w:t xml:space="preserve">The current evaluation corpus comprises five chapters and ten characters. While the gold-standard annotation is rigorous and the test is specifically designed to exercise the temporal decay mechanism, generalization to longer serials (100+ chapters, 50+ characters) requires further validation. The authors intend to expand the corpus to the full Mother of Learning serial (73 chapters) in subsequent work.</w:t>
      </w:r>
    </w:p>
    <w:p>
      <w:pPr>
        <w:spacing w:after="60" w:before="160"/>
      </w:pPr>
      <w:r>
        <w:rPr>
          <w:rFonts w:ascii="Arial" w:cs="Arial" w:eastAsia="Arial" w:hAnsi="Arial"/>
          <w:b/>
          <w:bCs/>
          <w:color w:val="595959"/>
          <w:sz w:val="22"/>
          <w:szCs w:val="22"/>
        </w:rPr>
        <w:t xml:space="preserve">5.3.2  Global PageRank Dilution</w:t>
      </w:r>
    </w:p>
    <w:p>
      <w:pPr>
        <w:spacing w:after="120" w:before="0" w:line="276" w:lineRule="auto"/>
        <w:jc w:val="both"/>
      </w:pPr>
      <w:r>
        <w:rPr>
          <w:rFonts w:ascii="Times New Roman" w:cs="Times New Roman" w:eastAsia="Times New Roman" w:hAnsi="Times New Roman"/>
          <w:sz w:val="22"/>
          <w:szCs w:val="22"/>
        </w:rPr>
        <w:t xml:space="preserve">As the graph expands across hundreds of chapters (N nodes), raw PageRank scores shrink toward zero. A fixed main cast threshold of 0.50 eventually becomes mathematically unreachable, blocking late-series character graduations. Future work must implement a dynamically scaling threshold of the form M × (1/N) to maintain consistent casting behaviour across large-N graphs. This is identified as the primary </w:t>
      </w:r>
      <w:r>
        <w:rPr>
          <w:rFonts w:ascii="Times New Roman" w:cs="Times New Roman" w:eastAsia="Times New Roman" w:hAnsi="Times New Roman"/>
          <w:b/>
          <w:bCs/>
          <w:sz w:val="22"/>
          <w:szCs w:val="22"/>
        </w:rPr>
        <w:t xml:space="preserve">unsolved limitation</w:t>
      </w:r>
      <w:r>
        <w:rPr>
          <w:rFonts w:ascii="Times New Roman" w:cs="Times New Roman" w:eastAsia="Times New Roman" w:hAnsi="Times New Roman"/>
          <w:sz w:val="22"/>
          <w:szCs w:val="22"/>
        </w:rPr>
        <w:t xml:space="preserve"> of the current architecture.</w:t>
      </w:r>
    </w:p>
    <w:p>
      <w:pPr>
        <w:spacing w:after="60" w:before="160"/>
      </w:pPr>
      <w:r>
        <w:rPr>
          <w:rFonts w:ascii="Arial" w:cs="Arial" w:eastAsia="Arial" w:hAnsi="Arial"/>
          <w:b/>
          <w:bCs/>
          <w:color w:val="595959"/>
          <w:sz w:val="22"/>
          <w:szCs w:val="22"/>
        </w:rPr>
        <w:t xml:space="preserve">5.3.3  Single-Chapter Context Boundary</w:t>
      </w:r>
    </w:p>
    <w:p>
      <w:pPr>
        <w:spacing w:after="120" w:before="0" w:line="276" w:lineRule="auto"/>
        <w:jc w:val="both"/>
      </w:pPr>
      <w:r>
        <w:rPr>
          <w:rFonts w:ascii="Times New Roman" w:cs="Times New Roman" w:eastAsia="Times New Roman" w:hAnsi="Times New Roman"/>
          <w:sz w:val="22"/>
          <w:szCs w:val="22"/>
        </w:rPr>
        <w:t xml:space="preserve">The current architecture processes chapters as atomic units. Chapter boundaries may split scenes, causing entities active at the end of one chapter and the beginning of the next to accrue artificial narrative latency. A sliding-window ingestion strategy with overlapping chapter boundaries is proposed as a near-term mitigation.</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6. Conclusion</w:t>
      </w:r>
    </w:p>
    <w:p>
      <w:pPr>
        <w:spacing w:after="120" w:before="0" w:line="276" w:lineRule="auto"/>
        <w:jc w:val="both"/>
      </w:pPr>
      <w:r>
        <w:rPr>
          <w:rFonts w:ascii="Times New Roman" w:cs="Times New Roman" w:eastAsia="Times New Roman" w:hAnsi="Times New Roman"/>
          <w:sz w:val="22"/>
          <w:szCs w:val="22"/>
        </w:rPr>
        <w:t xml:space="preserve">This paper has presented </w:t>
      </w:r>
      <w:r>
        <w:rPr>
          <w:rFonts w:ascii="Times New Roman" w:cs="Times New Roman" w:eastAsia="Times New Roman" w:hAnsi="Times New Roman"/>
          <w:b/>
          <w:bCs/>
          <w:sz w:val="22"/>
          <w:szCs w:val="22"/>
        </w:rPr>
        <w:t xml:space="preserve">Webnovel Architect</w:t>
      </w:r>
      <w:r>
        <w:rPr>
          <w:rFonts w:ascii="Times New Roman" w:cs="Times New Roman" w:eastAsia="Times New Roman" w:hAnsi="Times New Roman"/>
          <w:sz w:val="22"/>
          <w:szCs w:val="22"/>
        </w:rPr>
        <w:t xml:space="preserve">, a Neuro-Symbolic framework that resolves the Casting Paradox in automated audio dramatization of serialized web fiction. By architecturally separating contextual entity extraction (Neural) from temporal relevance reasoning (Symbolic), the system achieves native narrative latency on consumer hardware. The timed-decay PageRank formulation (λ = 0.15) is empirically validated to eliminate temporal hallucinations present in standard Vector RAG systems, and the Debut Prominence Quotient enables proactive voice assignment prior to global narrative confirmation. Graph traversal latency is sub-4 ms at 1,000 nodes, and the system requires no local GPU at any stage of inference.</w:t>
      </w:r>
    </w:p>
    <w:p>
      <w:pPr>
        <w:spacing w:after="120" w:before="0" w:line="276" w:lineRule="auto"/>
        <w:jc w:val="both"/>
      </w:pPr>
      <w:r>
        <w:rPr>
          <w:rFonts w:ascii="Times New Roman" w:cs="Times New Roman" w:eastAsia="Times New Roman" w:hAnsi="Times New Roman"/>
          <w:sz w:val="22"/>
          <w:szCs w:val="22"/>
        </w:rPr>
        <w:t xml:space="preserve">The Phase 7 proof-of-concept successfully demonstrates the architectural resolution of the Casting Paradox on the evaluated corpus. The identified limitations—PageRank dilution at scale and single-chapter context boundaries—are well-scoped engineering problems with clear solution paths, and do not undermine the conceptual validity of the neuro-symbolic approach.</w:t>
      </w:r>
    </w:p>
    <w:p>
      <w:pPr>
        <w:spacing w:after="80" w:before="200"/>
      </w:pPr>
      <w:r>
        <w:rPr>
          <w:rFonts w:ascii="Arial" w:cs="Arial" w:eastAsia="Arial" w:hAnsi="Arial"/>
          <w:b/>
          <w:bCs/>
          <w:color w:val="2E75B6"/>
          <w:sz w:val="23"/>
          <w:szCs w:val="23"/>
        </w:rPr>
        <w:t xml:space="preserve">6.1  Future Directions</w:t>
      </w:r>
    </w:p>
    <w:p>
      <w:pPr>
        <w:pStyle w:val="ListParagraph"/>
        <w:numPr>
          <w:ilvl w:val="0"/>
          <w:numId w:val="2"/>
        </w:numPr>
        <w:spacing w:after="80" w:before="0" w:line="276" w:lineRule="auto"/>
      </w:pPr>
      <w:r>
        <w:rPr>
          <w:rFonts w:ascii="Times New Roman" w:cs="Times New Roman" w:eastAsia="Times New Roman" w:hAnsi="Times New Roman"/>
          <w:b/>
          <w:bCs/>
          <w:sz w:val="22"/>
          <w:szCs w:val="22"/>
        </w:rPr>
        <w:t xml:space="preserve">Adaptive Decay: </w:t>
      </w:r>
      <w:r>
        <w:rPr>
          <w:rFonts w:ascii="Times New Roman" w:cs="Times New Roman" w:eastAsia="Times New Roman" w:hAnsi="Times New Roman"/>
          <w:sz w:val="22"/>
          <w:szCs w:val="22"/>
        </w:rPr>
        <w:t xml:space="preserve">Adaptive decay rate optimization: longitudinal ablation across multiple non-zero λ values on the full Mother of Learning corpus.</w:t>
      </w:r>
    </w:p>
    <w:p>
      <w:pPr>
        <w:pStyle w:val="ListParagraph"/>
        <w:numPr>
          <w:ilvl w:val="0"/>
          <w:numId w:val="2"/>
        </w:numPr>
        <w:spacing w:after="80" w:before="0" w:line="276" w:lineRule="auto"/>
      </w:pPr>
      <w:r>
        <w:rPr>
          <w:rFonts w:ascii="Times New Roman" w:cs="Times New Roman" w:eastAsia="Times New Roman" w:hAnsi="Times New Roman"/>
          <w:b/>
          <w:bCs/>
          <w:sz w:val="22"/>
          <w:szCs w:val="22"/>
        </w:rPr>
        <w:t xml:space="preserve">Dynamic Thresholds: </w:t>
      </w:r>
      <w:r>
        <w:rPr>
          <w:rFonts w:ascii="Times New Roman" w:cs="Times New Roman" w:eastAsia="Times New Roman" w:hAnsi="Times New Roman"/>
          <w:sz w:val="22"/>
          <w:szCs w:val="22"/>
        </w:rPr>
        <w:t xml:space="preserve">Dynamic threshold scaling (M × 1/N) to prevent main cast threshold unreachability in large-N graphs.</w:t>
      </w:r>
    </w:p>
    <w:p>
      <w:pPr>
        <w:pStyle w:val="ListParagraph"/>
        <w:numPr>
          <w:ilvl w:val="0"/>
          <w:numId w:val="2"/>
        </w:numPr>
        <w:spacing w:after="80" w:before="0" w:line="276" w:lineRule="auto"/>
      </w:pPr>
      <w:r>
        <w:rPr>
          <w:rFonts w:ascii="Times New Roman" w:cs="Times New Roman" w:eastAsia="Times New Roman" w:hAnsi="Times New Roman"/>
          <w:b/>
          <w:bCs/>
          <w:sz w:val="22"/>
          <w:szCs w:val="22"/>
        </w:rPr>
        <w:t xml:space="preserve">Sliding Windows: </w:t>
      </w:r>
      <w:r>
        <w:rPr>
          <w:rFonts w:ascii="Times New Roman" w:cs="Times New Roman" w:eastAsia="Times New Roman" w:hAnsi="Times New Roman"/>
          <w:sz w:val="22"/>
          <w:szCs w:val="22"/>
        </w:rPr>
        <w:t xml:space="preserve">Sliding-window chapter ingestion with overlapping boundaries to eliminate artificial narrative latency at chapter splits.</w:t>
      </w:r>
    </w:p>
    <w:p>
      <w:pPr>
        <w:pStyle w:val="ListParagraph"/>
        <w:numPr>
          <w:ilvl w:val="0"/>
          <w:numId w:val="2"/>
        </w:numPr>
        <w:spacing w:after="80" w:before="0" w:line="276" w:lineRule="auto"/>
      </w:pPr>
      <w:r>
        <w:rPr>
          <w:rFonts w:ascii="Times New Roman" w:cs="Times New Roman" w:eastAsia="Times New Roman" w:hAnsi="Times New Roman"/>
          <w:b/>
          <w:bCs/>
          <w:sz w:val="22"/>
          <w:szCs w:val="22"/>
        </w:rPr>
        <w:t xml:space="preserve">Scale: </w:t>
      </w:r>
      <w:r>
        <w:rPr>
          <w:rFonts w:ascii="Times New Roman" w:cs="Times New Roman" w:eastAsia="Times New Roman" w:hAnsi="Times New Roman"/>
          <w:sz w:val="22"/>
          <w:szCs w:val="22"/>
        </w:rPr>
        <w:t xml:space="preserve">Migration to a disk-backed graph database (e.g., Memgraph, Neo4j) for N &gt; 100,000 node graphs.</w:t>
      </w:r>
    </w:p>
    <w:p>
      <w:pPr>
        <w:pStyle w:val="ListParagraph"/>
        <w:numPr>
          <w:ilvl w:val="0"/>
          <w:numId w:val="2"/>
        </w:numPr>
        <w:spacing w:after="80" w:before="0" w:line="276" w:lineRule="auto"/>
      </w:pPr>
      <w:r>
        <w:rPr>
          <w:rFonts w:ascii="Times New Roman" w:cs="Times New Roman" w:eastAsia="Times New Roman" w:hAnsi="Times New Roman"/>
          <w:b/>
          <w:bCs/>
          <w:sz w:val="22"/>
          <w:szCs w:val="22"/>
        </w:rPr>
        <w:t xml:space="preserve">Model Routing: </w:t>
      </w:r>
      <w:r>
        <w:rPr>
          <w:rFonts w:ascii="Times New Roman" w:cs="Times New Roman" w:eastAsia="Times New Roman" w:hAnsi="Times New Roman"/>
          <w:sz w:val="22"/>
          <w:szCs w:val="22"/>
        </w:rPr>
        <w:t xml:space="preserve">Adaptive model routing between local SLMs (e.g., Llama-3-8B via Ollama) and remote APIs based on chapter complexity and budget constraints.</w:t>
      </w:r>
    </w:p>
    <w:p>
      <w:pPr>
        <w:spacing w:after="80" w:before="0"/>
      </w:pPr>
      <w:r>
        <w:rPr>
          <w:rFonts w:ascii="Times New Roman" w:cs="Times New Roman" w:eastAsia="Times New Roman" w:hAnsi="Times New Roman"/>
          <w:sz w:val="22"/>
          <w:szCs w:val="22"/>
        </w:rPr>
        <w:t xml:space="preserve"/>
      </w:r>
    </w:p>
    <w:p>
      <w:pPr>
        <w:pBdr>
          <w:bottom w:val="single" w:color="2E75B6" w:sz="6" w:space="4"/>
        </w:pBdr>
        <w:spacing w:after="100" w:before="280"/>
      </w:pPr>
      <w:r>
        <w:rPr>
          <w:rFonts w:ascii="Arial" w:cs="Arial" w:eastAsia="Arial" w:hAnsi="Arial"/>
          <w:b/>
          <w:bCs/>
          <w:color w:val="1F3864"/>
          <w:sz w:val="26"/>
          <w:szCs w:val="26"/>
        </w:rPr>
        <w:t xml:space="preserve">References</w:t>
      </w:r>
    </w:p>
    <w:p>
      <w:pPr>
        <w:spacing w:after="100" w:before="0"/>
        <w:ind w:left="360" w:hanging="360"/>
      </w:pPr>
      <w:r>
        <w:rPr>
          <w:rFonts w:ascii="Times New Roman" w:cs="Times New Roman" w:eastAsia="Times New Roman" w:hAnsi="Times New Roman"/>
          <w:sz w:val="20"/>
          <w:szCs w:val="20"/>
        </w:rPr>
        <w:t xml:space="preserve">[1] Edge, D., Trinh, H., Cheng, N., et al. (2024). From Local to Global: A Graph RAG Approach to Query-Focused Summarization. Microsoft Research.</w:t>
      </w:r>
    </w:p>
    <w:p>
      <w:pPr>
        <w:spacing w:after="100" w:before="0"/>
        <w:ind w:left="360" w:hanging="360"/>
      </w:pPr>
      <w:r>
        <w:rPr>
          <w:rFonts w:ascii="Times New Roman" w:cs="Times New Roman" w:eastAsia="Times New Roman" w:hAnsi="Times New Roman"/>
          <w:sz w:val="20"/>
          <w:szCs w:val="20"/>
        </w:rPr>
        <w:t xml:space="preserve">[2] Sun, Y., Zhang, R., &amp; Chen, W. (2025). Dynamic Graph RAG: Adapting Knowledge Graphs for Temporal Retrieval in Evolving Information Streams. Proceedings of ACL 2025.</w:t>
      </w:r>
    </w:p>
    <w:p>
      <w:pPr>
        <w:spacing w:after="100" w:before="0"/>
        <w:ind w:left="360" w:hanging="360"/>
      </w:pPr>
      <w:r>
        <w:rPr>
          <w:rFonts w:ascii="Times New Roman" w:cs="Times New Roman" w:eastAsia="Times New Roman" w:hAnsi="Times New Roman"/>
          <w:sz w:val="20"/>
          <w:szCs w:val="20"/>
        </w:rPr>
        <w:t xml:space="preserve">[3] Jiang, S., Liu, Y., &amp; Wang, M. (2025). Audiobook-CC: Zero-Shot Prosody Transfer for Long-Form Narrative Audio Synthesis. Proceedings of Interspeech 2025.</w:t>
      </w:r>
    </w:p>
    <w:p>
      <w:pPr>
        <w:spacing w:after="100" w:before="0"/>
        <w:ind w:left="360" w:hanging="360"/>
      </w:pPr>
      <w:r>
        <w:rPr>
          <w:rFonts w:ascii="Times New Roman" w:cs="Times New Roman" w:eastAsia="Times New Roman" w:hAnsi="Times New Roman"/>
          <w:sz w:val="20"/>
          <w:szCs w:val="20"/>
        </w:rPr>
        <w:t xml:space="preserve">[4] Hexgrad Open Source Initiative. (2025). Kokoro TTS: A Lightweight Zero-Shot Text-to-Speech Framework. GitHub Repository.</w:t>
      </w:r>
    </w:p>
    <w:p>
      <w:pPr>
        <w:spacing w:after="100" w:before="0"/>
        <w:ind w:left="360" w:hanging="360"/>
      </w:pPr>
      <w:r>
        <w:rPr>
          <w:rFonts w:ascii="Times New Roman" w:cs="Times New Roman" w:eastAsia="Times New Roman" w:hAnsi="Times New Roman"/>
          <w:sz w:val="20"/>
          <w:szCs w:val="20"/>
        </w:rPr>
        <w:t xml:space="preserve">[5] Reid, M., Savinov, N., Teplyashin, D., et al. (2024). Gemini 1.5: Unlocking Multimodal Understanding Across Millions of Tokens of Context. Google DeepMind Technical Report.</w:t>
      </w:r>
    </w:p>
    <w:p>
      <w:pPr>
        <w:spacing w:after="100" w:before="0"/>
        <w:ind w:left="360" w:hanging="360"/>
      </w:pPr>
      <w:r>
        <w:rPr>
          <w:rFonts w:ascii="Times New Roman" w:cs="Times New Roman" w:eastAsia="Times New Roman" w:hAnsi="Times New Roman"/>
          <w:sz w:val="20"/>
          <w:szCs w:val="20"/>
        </w:rPr>
        <w:t xml:space="preserve">[6] Bain, M., Huh, J., Han, T., &amp; Zisserman, A. (2023). WhisperX: Time-Accurate Speech Transcription of Long-Form Audio. Proceedings of Interspeech 2023.</w:t>
      </w:r>
    </w:p>
    <w:p>
      <w:pPr>
        <w:spacing w:after="100" w:before="0"/>
        <w:ind w:left="360" w:hanging="360"/>
      </w:pPr>
      <w:r>
        <w:rPr>
          <w:rFonts w:ascii="Times New Roman" w:cs="Times New Roman" w:eastAsia="Times New Roman" w:hAnsi="Times New Roman"/>
          <w:sz w:val="20"/>
          <w:szCs w:val="20"/>
        </w:rPr>
        <w:t xml:space="preserve">[7] Vala, H., Jurgens, D., Piper, A., &amp; Ruths, D. (2015). Mr. Bennet, His Coachman, and the Archbishop Walk into a Bar: A General Framework for Classifying Social Events. Proceedings of EMNLP 2015.</w:t>
      </w:r>
    </w:p>
    <w:p>
      <w:pPr>
        <w:spacing w:after="100" w:before="0"/>
        <w:ind w:left="360" w:hanging="360"/>
      </w:pPr>
      <w:r>
        <w:rPr>
          <w:rFonts w:ascii="Times New Roman" w:cs="Times New Roman" w:eastAsia="Times New Roman" w:hAnsi="Times New Roman"/>
          <w:sz w:val="20"/>
          <w:szCs w:val="20"/>
        </w:rPr>
        <w:t xml:space="preserve">[8] Tang, Z., Li, X., &amp; Zhou, Q. (2026). LinearRAG: Mitigating the LLM Tax in Graph-Based Retrieval Through Linearised Traversal. Proceedings of ICLR 2026.</w:t>
      </w:r>
    </w:p>
    <w:p>
      <w:pPr>
        <w:spacing w:after="100" w:before="0"/>
        <w:ind w:left="360" w:hanging="360"/>
      </w:pPr>
      <w:r>
        <w:rPr>
          <w:rFonts w:ascii="Times New Roman" w:cs="Times New Roman" w:eastAsia="Times New Roman" w:hAnsi="Times New Roman"/>
          <w:sz w:val="20"/>
          <w:szCs w:val="20"/>
        </w:rPr>
        <w:t xml:space="preserve">[9] Wang, X., Chen, L., &amp; Zhao, P. (2026). F5-TTS and Qwen3-TTS: Non-Autoregressive Foundations for Real-Time Expressive Speech Synthesis. Proceedings of ICASSP 2026.</w:t>
      </w:r>
    </w:p>
    <w:p>
      <w:pPr>
        <w:spacing w:after="100" w:before="0"/>
        <w:ind w:left="360" w:hanging="360"/>
      </w:pPr>
      <w:r>
        <w:rPr>
          <w:rFonts w:ascii="Times New Roman" w:cs="Times New Roman" w:eastAsia="Times New Roman" w:hAnsi="Times New Roman"/>
          <w:sz w:val="20"/>
          <w:szCs w:val="20"/>
        </w:rPr>
        <w:t xml:space="preserve">[10] Magic Engineering Team. (2025). LTM-2-Mini: Scaling Long-Term Memory Architectures to 100 Million Token Contexts. Magic.dev Technical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595959"/>
        <w:sz w:val="18"/>
        <w:szCs w:val="18"/>
      </w:rPr>
      <w:t xml:space="preserve">Zero-GPU Story Intelligence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jc w:val="right"/>
    </w:pPr>
    <w:r>
      <w:rPr>
        <w:rFonts w:ascii="Arial" w:cs="Arial" w:eastAsia="Arial" w:hAnsi="Arial"/>
        <w:color w:val="595959"/>
        <w:sz w:val="18"/>
        <w:szCs w:val="18"/>
      </w:rPr>
      <w:t xml:space="preserve">Webnovel Architect Research Group  |  Phase 7 Final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2026-04-07T10:21:33.689Z</dcterms:created>
  <dcterms:modified xsi:type="dcterms:W3CDTF">2026-04-07T10:21:33.690Z</dcterms:modified>
</cp:coreProperties>
</file>

<file path=docProps/custom.xml><?xml version="1.0" encoding="utf-8"?>
<Properties xmlns="http://schemas.openxmlformats.org/officeDocument/2006/custom-properties" xmlns:vt="http://schemas.openxmlformats.org/officeDocument/2006/docPropsVTypes"/>
</file>