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C4BDE" w14:textId="7A8CD0E1" w:rsidR="00AA0FF3" w:rsidRPr="00AA0FF3" w:rsidRDefault="00AA0FF3" w:rsidP="00AA0FF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FF3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6B2615E1" w14:textId="77777777" w:rsidR="00AA0FF3" w:rsidRPr="00DD66C7" w:rsidRDefault="00AA0FF3" w:rsidP="00DD66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626F9" w14:textId="77777777" w:rsidR="00DD66C7" w:rsidRPr="00DD66C7" w:rsidRDefault="00DD66C7" w:rsidP="00DD66C7">
      <w:pPr>
        <w:spacing w:line="360" w:lineRule="auto"/>
      </w:pPr>
      <w:r w:rsidRPr="00DD66C7">
        <w:t>[1] K. Ericksen, “Cracking cases with digital forensics,” https://www.rasmussen.edu/degrees/justice-studies/blog/ cracking-cases-with-digital-forensics/, 2018, accessed: 2023-08-21.</w:t>
      </w:r>
    </w:p>
    <w:p w14:paraId="522D8B87" w14:textId="39443A02" w:rsidR="00DD66C7" w:rsidRPr="00DD66C7" w:rsidRDefault="00DD66C7" w:rsidP="00DD66C7">
      <w:pPr>
        <w:spacing w:line="360" w:lineRule="auto"/>
      </w:pPr>
      <w:r w:rsidRPr="00DD66C7">
        <w:t xml:space="preserve"> [2] H. Al-Khateeb, G. Epiphaniou, and H. Daly, “Blockchain for mod ern digital forensics: The chain-of-custody as a distributed ledger,” Blockchain and Clinical Trial: Securing Patient Data, pp. 149–168, 2019. </w:t>
      </w:r>
      <w:r w:rsidRPr="00DD66C7">
        <w:t>A</w:t>
      </w:r>
    </w:p>
    <w:p w14:paraId="4F5EF297" w14:textId="77777777" w:rsidR="00DD66C7" w:rsidRPr="00DD66C7" w:rsidRDefault="00DD66C7" w:rsidP="00DD66C7">
      <w:pPr>
        <w:spacing w:line="360" w:lineRule="auto"/>
      </w:pPr>
      <w:r w:rsidRPr="00DD66C7">
        <w:t xml:space="preserve"> [3] “In boston bombing, flood of digital evidence is a blessing and</w:t>
      </w:r>
      <w:r w:rsidRPr="00DD66C7">
        <w:t xml:space="preserve"> </w:t>
      </w:r>
      <w:r w:rsidRPr="00DD66C7">
        <w:t>curse,”https://www.cnn.com/2013/04/17/tech/mobile/ boston-bombing-evidence-search-verge/index.htm2013, accessed: 2023-10-04.</w:t>
      </w:r>
    </w:p>
    <w:p w14:paraId="32881BE8" w14:textId="77777777" w:rsidR="00DD66C7" w:rsidRPr="00DD66C7" w:rsidRDefault="00DD66C7" w:rsidP="00DD66C7">
      <w:pPr>
        <w:spacing w:line="360" w:lineRule="auto"/>
      </w:pPr>
      <w:r w:rsidRPr="00DD66C7">
        <w:t xml:space="preserve"> [4] “The higher college admissions education,” scandal that shook https://www.bestcolleges.com/blog/ operation-varsity-blues-college-admissions-scandal/, 2023, accessed: 2023-10-04.</w:t>
      </w:r>
    </w:p>
    <w:p w14:paraId="5A421412" w14:textId="77777777" w:rsidR="00DD66C7" w:rsidRPr="00DD66C7" w:rsidRDefault="00DD66C7" w:rsidP="00DD66C7">
      <w:pPr>
        <w:spacing w:line="360" w:lineRule="auto"/>
      </w:pPr>
      <w:r w:rsidRPr="00DD66C7">
        <w:t xml:space="preserve"> [5] “Legal was lessons denied learned: in 5 court,” times digital evidence https://blog.pagefreezer.com/ legal-lessons-learned-5-times-digital-evidence-was-denied-in-court, 2017, accessed: 2023-08-21.</w:t>
      </w:r>
    </w:p>
    <w:p w14:paraId="53A18EB7" w14:textId="77777777" w:rsidR="00DD66C7" w:rsidRPr="00DD66C7" w:rsidRDefault="00DD66C7" w:rsidP="00DD66C7">
      <w:pPr>
        <w:spacing w:line="360" w:lineRule="auto"/>
      </w:pPr>
      <w:r w:rsidRPr="00DD66C7">
        <w:t xml:space="preserve"> [6] A. Zaller, “Plaintiff’s intentional deletion of text messages results in dismissal of case,” https://tinyurl.com/yfnfxekr, 2024, accessed: 2024 09-12.</w:t>
      </w:r>
    </w:p>
    <w:p w14:paraId="581461B2" w14:textId="77777777" w:rsidR="00DD66C7" w:rsidRPr="00DD66C7" w:rsidRDefault="00DD66C7" w:rsidP="00DD66C7">
      <w:pPr>
        <w:spacing w:line="360" w:lineRule="auto"/>
      </w:pPr>
      <w:r w:rsidRPr="00DD66C7">
        <w:t xml:space="preserve"> [7] “Rule 901– authenticating or identifying evidence,” https://www. rulesofevidence.org/article-ix/rule-901/, accessed: 2023-08-22. </w:t>
      </w:r>
    </w:p>
    <w:p w14:paraId="0146D08B" w14:textId="5B5EE048" w:rsidR="00DD66C7" w:rsidRPr="00DD66C7" w:rsidRDefault="00DD66C7" w:rsidP="00DD66C7">
      <w:pPr>
        <w:spacing w:line="360" w:lineRule="auto"/>
      </w:pPr>
      <w:r w:rsidRPr="00DD66C7">
        <w:t>[8] J. ´ Cosi´ c, Z. ´ Cosi´c, and M. Baˇca, “Chain of digital evidence based model of digital forensic investigation process,” IJCSIS-Int. J. Comput. Sci. Inf. Secur, vol. 9, no. 7, 2011.</w:t>
      </w:r>
    </w:p>
    <w:p w14:paraId="2B4A67CB" w14:textId="77777777" w:rsidR="00DD66C7" w:rsidRPr="00DD66C7" w:rsidRDefault="00DD66C7" w:rsidP="00DD66C7">
      <w:pPr>
        <w:spacing w:line="360" w:lineRule="auto"/>
      </w:pPr>
      <w:r w:rsidRPr="00DD66C7">
        <w:t>9] B. Nelson, A. Phillips, and C. Steuart, Guide to computer forensics and investigations. Cengage Learning, 2014.</w:t>
      </w:r>
    </w:p>
    <w:p w14:paraId="1C893CBE" w14:textId="139A8E1B" w:rsidR="00FB33E9" w:rsidRPr="00DD66C7" w:rsidRDefault="00DD66C7" w:rsidP="00DD66C7">
      <w:pPr>
        <w:spacing w:line="360" w:lineRule="auto"/>
      </w:pPr>
      <w:r w:rsidRPr="00DD66C7">
        <w:t xml:space="preserve"> [10] K. Zatyko, “Commentary: Defining digital forensics,” Forensic Maga zine, vol. 20, 2007.</w:t>
      </w:r>
    </w:p>
    <w:sectPr w:rsidR="00FB33E9" w:rsidRPr="00DD6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C9"/>
    <w:rsid w:val="00475648"/>
    <w:rsid w:val="00833CDC"/>
    <w:rsid w:val="00917035"/>
    <w:rsid w:val="00AA0FF3"/>
    <w:rsid w:val="00AB1C8C"/>
    <w:rsid w:val="00DD66C7"/>
    <w:rsid w:val="00E02A33"/>
    <w:rsid w:val="00EB15C9"/>
    <w:rsid w:val="00FA7CE0"/>
    <w:rsid w:val="00F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DF5D"/>
  <w15:chartTrackingRefBased/>
  <w15:docId w15:val="{3CA269EE-9969-4B00-BB51-A98C1ACF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66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Damayanthi Bodapati</dc:creator>
  <cp:keywords/>
  <dc:description/>
  <cp:lastModifiedBy>Admin</cp:lastModifiedBy>
  <cp:revision>6</cp:revision>
  <dcterms:created xsi:type="dcterms:W3CDTF">2025-04-15T14:53:00Z</dcterms:created>
  <dcterms:modified xsi:type="dcterms:W3CDTF">2025-07-12T08:54:00Z</dcterms:modified>
</cp:coreProperties>
</file>