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CE837" w14:textId="0945467D" w:rsidR="00BF0B32" w:rsidRPr="00BF0B32" w:rsidRDefault="00BF0B32" w:rsidP="00BF0B32">
      <w:pPr>
        <w:jc w:val="center"/>
        <w:rPr>
          <w:rFonts w:ascii="Times New Roman" w:hAnsi="Times New Roman" w:cs="Times New Roman"/>
          <w:b/>
          <w:bCs/>
          <w:sz w:val="36"/>
          <w:szCs w:val="36"/>
        </w:rPr>
      </w:pPr>
      <w:r w:rsidRPr="00BF0B32">
        <w:rPr>
          <w:rFonts w:ascii="Times New Roman" w:hAnsi="Times New Roman" w:cs="Times New Roman"/>
          <w:b/>
          <w:bCs/>
          <w:sz w:val="36"/>
          <w:szCs w:val="36"/>
        </w:rPr>
        <w:t>INTRODUCTION</w:t>
      </w:r>
    </w:p>
    <w:p w14:paraId="2D2081BA" w14:textId="654797C5" w:rsidR="007F1D69" w:rsidRDefault="007F1D69" w:rsidP="00EF6C4F">
      <w:pPr>
        <w:spacing w:line="360" w:lineRule="auto"/>
        <w:jc w:val="both"/>
        <w:rPr>
          <w:rFonts w:ascii="Times New Roman" w:hAnsi="Times New Roman" w:cs="Times New Roman"/>
        </w:rPr>
      </w:pPr>
      <w:r w:rsidRPr="007F1D69">
        <w:rPr>
          <w:rFonts w:ascii="Times New Roman" w:hAnsi="Times New Roman" w:cs="Times New Roman"/>
        </w:rPr>
        <w:t xml:space="preserve">In today’s interconnected world, digital devices such as smart phones, wearables, and connected vehicles have become in </w:t>
      </w:r>
      <w:proofErr w:type="spellStart"/>
      <w:r w:rsidRPr="007F1D69">
        <w:rPr>
          <w:rFonts w:ascii="Times New Roman" w:hAnsi="Times New Roman" w:cs="Times New Roman"/>
        </w:rPr>
        <w:t>tegral</w:t>
      </w:r>
      <w:proofErr w:type="spellEnd"/>
      <w:r w:rsidRPr="007F1D69">
        <w:rPr>
          <w:rFonts w:ascii="Times New Roman" w:hAnsi="Times New Roman" w:cs="Times New Roman"/>
        </w:rPr>
        <w:t xml:space="preserve"> to daily life, continuously generating vast amounts of data. These mobile devices not only store extensive personal information but also remain portable and easily operable, </w:t>
      </w:r>
      <w:proofErr w:type="spellStart"/>
      <w:r w:rsidRPr="007F1D69">
        <w:rPr>
          <w:rFonts w:ascii="Times New Roman" w:hAnsi="Times New Roman" w:cs="Times New Roman"/>
        </w:rPr>
        <w:t>cre</w:t>
      </w:r>
      <w:proofErr w:type="spellEnd"/>
      <w:r w:rsidRPr="007F1D69">
        <w:rPr>
          <w:rFonts w:ascii="Times New Roman" w:hAnsi="Times New Roman" w:cs="Times New Roman"/>
        </w:rPr>
        <w:t xml:space="preserve"> </w:t>
      </w:r>
      <w:proofErr w:type="spellStart"/>
      <w:r w:rsidRPr="007F1D69">
        <w:rPr>
          <w:rFonts w:ascii="Times New Roman" w:hAnsi="Times New Roman" w:cs="Times New Roman"/>
        </w:rPr>
        <w:t>ating</w:t>
      </w:r>
      <w:proofErr w:type="spellEnd"/>
      <w:r w:rsidRPr="007F1D69">
        <w:rPr>
          <w:rFonts w:ascii="Times New Roman" w:hAnsi="Times New Roman" w:cs="Times New Roman"/>
        </w:rPr>
        <w:t xml:space="preserve"> a rich digital footprint that follows individuals wherever they go. The field of digital forensic sciences has emerged to leverage this data, enabling forensic investigators to uncover hidden truths in complex scenarios by </w:t>
      </w:r>
      <w:proofErr w:type="spellStart"/>
      <w:r w:rsidRPr="007F1D69">
        <w:rPr>
          <w:rFonts w:ascii="Times New Roman" w:hAnsi="Times New Roman" w:cs="Times New Roman"/>
        </w:rPr>
        <w:t>analyzing</w:t>
      </w:r>
      <w:proofErr w:type="spellEnd"/>
      <w:r w:rsidRPr="007F1D69">
        <w:rPr>
          <w:rFonts w:ascii="Times New Roman" w:hAnsi="Times New Roman" w:cs="Times New Roman"/>
        </w:rPr>
        <w:t xml:space="preserve"> information from suspects, victims, and others involved in a case. This capability has led to a significant increase in the use of digital evidence in civil and criminal proceedings in recent years [1]. The importance of digital evidence and the legitimacy of digital forensics are well-established in legal contexts. For example, the U.S. court formally recognized digital information as acceptable evidence and implemented the mandatory electronic discovery (eDiscovery) system in 2006, laying the foundation for this field [2]. Over the past decade, digital evidence has played a critical role in solving major cases, such as the Boston Marathon Bombing in 2013, where digital forensic analysis of security footage and suspects’ digital devices provided crucial insights [3]. Similarly, in the College Admissions Bribery Scandal in 2019, digital evidence, includ</w:t>
      </w:r>
      <w:r>
        <w:rPr>
          <w:rFonts w:ascii="Times New Roman" w:hAnsi="Times New Roman" w:cs="Times New Roman"/>
        </w:rPr>
        <w:t xml:space="preserve">e </w:t>
      </w:r>
      <w:proofErr w:type="spellStart"/>
      <w:r w:rsidRPr="007F1D69">
        <w:rPr>
          <w:rFonts w:ascii="Times New Roman" w:hAnsi="Times New Roman" w:cs="Times New Roman"/>
        </w:rPr>
        <w:t>ing</w:t>
      </w:r>
      <w:proofErr w:type="spellEnd"/>
      <w:r w:rsidRPr="007F1D69">
        <w:rPr>
          <w:rFonts w:ascii="Times New Roman" w:hAnsi="Times New Roman" w:cs="Times New Roman"/>
        </w:rPr>
        <w:t xml:space="preserve"> emails and text messages, was instrumental in exposing fraudulent activities</w:t>
      </w:r>
      <w:r>
        <w:rPr>
          <w:rFonts w:ascii="Times New Roman" w:hAnsi="Times New Roman" w:cs="Times New Roman"/>
        </w:rPr>
        <w:t>.</w:t>
      </w:r>
      <w:r w:rsidRPr="007F1D69">
        <w:rPr>
          <w:rFonts w:ascii="Times New Roman" w:hAnsi="Times New Roman" w:cs="Times New Roman"/>
        </w:rPr>
        <w:t xml:space="preserve"> Despite its growing importance, the use of digital evidence presents unique challenges compared to traditional physical evidence, particularly concerning its admissibility in court. The vast amount of data and its rapid creation and transmission make digital evidence susceptible to manipulation, alteration, or degradation. Several cases have highlighted the difficulties in maintaining the integrity and authenticity of digital evidence, leading to its exclusion from court proceedings</w:t>
      </w:r>
      <w:r>
        <w:rPr>
          <w:rFonts w:ascii="Times New Roman" w:hAnsi="Times New Roman" w:cs="Times New Roman"/>
        </w:rPr>
        <w:t>.</w:t>
      </w:r>
    </w:p>
    <w:p w14:paraId="7F3990B9" w14:textId="77777777" w:rsidR="008345AE" w:rsidRDefault="007F1D69" w:rsidP="00EF6C4F">
      <w:pPr>
        <w:spacing w:line="360" w:lineRule="auto"/>
        <w:jc w:val="both"/>
        <w:rPr>
          <w:rFonts w:ascii="Times New Roman" w:hAnsi="Times New Roman" w:cs="Times New Roman"/>
        </w:rPr>
      </w:pPr>
      <w:r w:rsidRPr="007F1D69">
        <w:rPr>
          <w:rFonts w:ascii="Times New Roman" w:hAnsi="Times New Roman" w:cs="Times New Roman"/>
        </w:rPr>
        <w:t xml:space="preserve"> For instance, in the case, Jones v. Riot Hospitality Group (2024), the District Court dismissed the lawsuit after determining that the plaintiff had intentionally deleted pertinent text messages with co-workers, which were critical evidence in the case [6]. Ensuring the integrity of digital evidence and the investigative process, as well as establishing the evidence’s admissibility, are fundamental challenges in digital forensics. The admissibility of evidence is governed by specific regulations, such as the Federal Rules of Evidence in the United States. Rule 901, which addresses the authentication of evidence, requires that evidence be proven to be original and free from tampering [7]. In digital forensics, this entails not only demonstrating the integrity of the digital evidence but also verifying the legitimacy of its source. This underlines the importance of originality and unbroken continuity of forensic investigations. Chain of Custody (CoC) is a straightforward yet critical pro </w:t>
      </w:r>
      <w:proofErr w:type="spellStart"/>
      <w:r w:rsidRPr="007F1D69">
        <w:rPr>
          <w:rFonts w:ascii="Times New Roman" w:hAnsi="Times New Roman" w:cs="Times New Roman"/>
        </w:rPr>
        <w:t>cedure</w:t>
      </w:r>
      <w:proofErr w:type="spellEnd"/>
      <w:r w:rsidRPr="007F1D69">
        <w:rPr>
          <w:rFonts w:ascii="Times New Roman" w:hAnsi="Times New Roman" w:cs="Times New Roman"/>
        </w:rPr>
        <w:t xml:space="preserve"> that documents the complete and chronological journey of evidence, ensuring transparency in how it has been handled and maintaining its integrity and authenticity throughout the investigative process [8]. The inherent complexity in digital evidence has intensified the challenge of maintaining authenticity and establishing the admissibility of both the evidence and its corresponding CoC. </w:t>
      </w:r>
    </w:p>
    <w:p w14:paraId="65D92979" w14:textId="239DFE82" w:rsidR="00BF0B32" w:rsidRPr="00E85D72" w:rsidRDefault="007F1D69" w:rsidP="00EF6C4F">
      <w:pPr>
        <w:spacing w:line="360" w:lineRule="auto"/>
        <w:jc w:val="both"/>
        <w:rPr>
          <w:rFonts w:ascii="Times New Roman" w:hAnsi="Times New Roman" w:cs="Times New Roman"/>
        </w:rPr>
      </w:pPr>
      <w:r w:rsidRPr="007F1D69">
        <w:rPr>
          <w:rFonts w:ascii="Times New Roman" w:hAnsi="Times New Roman" w:cs="Times New Roman"/>
        </w:rPr>
        <w:lastRenderedPageBreak/>
        <w:t>This challenge has encouraged academic efforts to develop solutions that are both theoretically robust and practically applicable in everyday digital forensics practices. With the emergence of advanced intelligent systems and cutting-edge technologies such as Cloud Computing and Blockchain, there is a growing focus on leveraging these technologies to improve the reliability and security of CoC practices. This paper explores various CoC practices proposed in academic literature and observed in real-world forensic scenarios. It also addresses the unique challenges faced in this field, emphasizing the need</w:t>
      </w:r>
      <w:r w:rsidR="008345AE">
        <w:rPr>
          <w:rFonts w:ascii="Times New Roman" w:hAnsi="Times New Roman" w:cs="Times New Roman"/>
        </w:rPr>
        <w:t xml:space="preserve"> </w:t>
      </w:r>
      <w:r w:rsidR="008345AE" w:rsidRPr="008345AE">
        <w:rPr>
          <w:rFonts w:ascii="Times New Roman" w:hAnsi="Times New Roman" w:cs="Times New Roman"/>
        </w:rPr>
        <w:t xml:space="preserve">for further research into applying such advanced technologies and secure infrastructures to advance digital forensics. The remainder of the paper is structured as follows: Section II outlines the foundational concepts of digital forensics and CoC. Section III explores the essential requirements for a </w:t>
      </w:r>
      <w:proofErr w:type="spellStart"/>
      <w:r w:rsidR="008345AE" w:rsidRPr="008345AE">
        <w:rPr>
          <w:rFonts w:ascii="Times New Roman" w:hAnsi="Times New Roman" w:cs="Times New Roman"/>
        </w:rPr>
        <w:t>ro</w:t>
      </w:r>
      <w:proofErr w:type="spellEnd"/>
      <w:r w:rsidR="008345AE" w:rsidRPr="008345AE">
        <w:rPr>
          <w:rFonts w:ascii="Times New Roman" w:hAnsi="Times New Roman" w:cs="Times New Roman"/>
        </w:rPr>
        <w:t xml:space="preserve"> bust digital forensics CoC considering both legal and practical aspects. Section IV provides a comprehensive description of the different CoC approaches, with a qualitative analysis of the merits and demerits of each. Section V critically examines these practices against the identified requirements and criteria. The paper concludes with a synthesis of key insights and future research directions that enrich the digital forensics landscape.</w:t>
      </w:r>
    </w:p>
    <w:sectPr w:rsidR="00BF0B32" w:rsidRPr="00E85D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A23"/>
    <w:rsid w:val="001D5452"/>
    <w:rsid w:val="003626E5"/>
    <w:rsid w:val="007F1D69"/>
    <w:rsid w:val="008345AE"/>
    <w:rsid w:val="00BF0B32"/>
    <w:rsid w:val="00C36991"/>
    <w:rsid w:val="00E85D72"/>
    <w:rsid w:val="00EF6C4F"/>
    <w:rsid w:val="00FA7CE0"/>
    <w:rsid w:val="00FB33E9"/>
    <w:rsid w:val="00FF4A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FC82B"/>
  <w15:chartTrackingRefBased/>
  <w15:docId w15:val="{4BE531F2-C5F7-47E7-B9B2-F92F0EB2E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A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4A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4A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4A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4A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4A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A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A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A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A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4A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4A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4A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4A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4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A23"/>
    <w:rPr>
      <w:rFonts w:eastAsiaTheme="majorEastAsia" w:cstheme="majorBidi"/>
      <w:color w:val="272727" w:themeColor="text1" w:themeTint="D8"/>
    </w:rPr>
  </w:style>
  <w:style w:type="paragraph" w:styleId="Title">
    <w:name w:val="Title"/>
    <w:basedOn w:val="Normal"/>
    <w:next w:val="Normal"/>
    <w:link w:val="TitleChar"/>
    <w:uiPriority w:val="10"/>
    <w:qFormat/>
    <w:rsid w:val="00FF4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A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A23"/>
    <w:pPr>
      <w:spacing w:before="160"/>
      <w:jc w:val="center"/>
    </w:pPr>
    <w:rPr>
      <w:i/>
      <w:iCs/>
      <w:color w:val="404040" w:themeColor="text1" w:themeTint="BF"/>
    </w:rPr>
  </w:style>
  <w:style w:type="character" w:customStyle="1" w:styleId="QuoteChar">
    <w:name w:val="Quote Char"/>
    <w:basedOn w:val="DefaultParagraphFont"/>
    <w:link w:val="Quote"/>
    <w:uiPriority w:val="29"/>
    <w:rsid w:val="00FF4A23"/>
    <w:rPr>
      <w:i/>
      <w:iCs/>
      <w:color w:val="404040" w:themeColor="text1" w:themeTint="BF"/>
    </w:rPr>
  </w:style>
  <w:style w:type="paragraph" w:styleId="ListParagraph">
    <w:name w:val="List Paragraph"/>
    <w:basedOn w:val="Normal"/>
    <w:uiPriority w:val="34"/>
    <w:qFormat/>
    <w:rsid w:val="00FF4A23"/>
    <w:pPr>
      <w:ind w:left="720"/>
      <w:contextualSpacing/>
    </w:pPr>
  </w:style>
  <w:style w:type="character" w:styleId="IntenseEmphasis">
    <w:name w:val="Intense Emphasis"/>
    <w:basedOn w:val="DefaultParagraphFont"/>
    <w:uiPriority w:val="21"/>
    <w:qFormat/>
    <w:rsid w:val="00FF4A23"/>
    <w:rPr>
      <w:i/>
      <w:iCs/>
      <w:color w:val="2F5496" w:themeColor="accent1" w:themeShade="BF"/>
    </w:rPr>
  </w:style>
  <w:style w:type="paragraph" w:styleId="IntenseQuote">
    <w:name w:val="Intense Quote"/>
    <w:basedOn w:val="Normal"/>
    <w:next w:val="Normal"/>
    <w:link w:val="IntenseQuoteChar"/>
    <w:uiPriority w:val="30"/>
    <w:qFormat/>
    <w:rsid w:val="00FF4A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4A23"/>
    <w:rPr>
      <w:i/>
      <w:iCs/>
      <w:color w:val="2F5496" w:themeColor="accent1" w:themeShade="BF"/>
    </w:rPr>
  </w:style>
  <w:style w:type="character" w:styleId="IntenseReference">
    <w:name w:val="Intense Reference"/>
    <w:basedOn w:val="DefaultParagraphFont"/>
    <w:uiPriority w:val="32"/>
    <w:qFormat/>
    <w:rsid w:val="00FF4A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709</Words>
  <Characters>4045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Damayanthi Bodapati</dc:creator>
  <cp:keywords/>
  <dc:description/>
  <cp:lastModifiedBy>Admin</cp:lastModifiedBy>
  <cp:revision>5</cp:revision>
  <dcterms:created xsi:type="dcterms:W3CDTF">2025-04-15T14:48:00Z</dcterms:created>
  <dcterms:modified xsi:type="dcterms:W3CDTF">2025-07-12T09:20:00Z</dcterms:modified>
</cp:coreProperties>
</file>