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A6680" w14:textId="4829FFE7" w:rsidR="0096681E" w:rsidRDefault="0096681E" w:rsidP="00C54C2F">
      <w:pPr>
        <w:jc w:val="center"/>
        <w:rPr>
          <w:b/>
          <w:bCs/>
          <w:sz w:val="32"/>
          <w:szCs w:val="32"/>
        </w:rPr>
      </w:pPr>
      <w:r w:rsidRPr="0096681E">
        <w:rPr>
          <w:b/>
          <w:bCs/>
          <w:sz w:val="32"/>
          <w:szCs w:val="32"/>
        </w:rPr>
        <w:t>LITERATURE SURVEY</w:t>
      </w:r>
    </w:p>
    <w:p w14:paraId="0A909A0C" w14:textId="77777777" w:rsidR="00C54C2F" w:rsidRPr="00C54C2F" w:rsidRDefault="00C54C2F" w:rsidP="00C54C2F">
      <w:pPr>
        <w:spacing w:line="360" w:lineRule="auto"/>
        <w:jc w:val="both"/>
        <w:rPr>
          <w:rFonts w:ascii="Times New Roman" w:hAnsi="Times New Roman" w:cs="Times New Roman"/>
          <w:sz w:val="24"/>
          <w:szCs w:val="24"/>
          <w:lang w:val="en-US"/>
        </w:rPr>
      </w:pPr>
      <w:r w:rsidRPr="00C54C2F">
        <w:rPr>
          <w:rFonts w:ascii="Times New Roman" w:hAnsi="Times New Roman" w:cs="Times New Roman"/>
          <w:sz w:val="24"/>
          <w:szCs w:val="24"/>
          <w:lang w:val="en-US"/>
        </w:rPr>
        <w:t xml:space="preserve">In the digital age, where mobile devices and online platforms dominate communication and data storage, digital evidence has become a cornerstone in both civil and criminal investigations. As the reliance on digital forensics grows, so does the importance of preserving the integrity and admissibility of digital evidence throughout its lifecycle. One of the foundational mechanisms to achieve this is the </w:t>
      </w:r>
      <w:r w:rsidRPr="00C54C2F">
        <w:rPr>
          <w:rFonts w:ascii="Times New Roman" w:hAnsi="Times New Roman" w:cs="Times New Roman"/>
          <w:b/>
          <w:bCs/>
          <w:sz w:val="24"/>
          <w:szCs w:val="24"/>
          <w:lang w:val="en-US"/>
        </w:rPr>
        <w:t>Chain of Custody (CoC)</w:t>
      </w:r>
      <w:r w:rsidRPr="00C54C2F">
        <w:rPr>
          <w:rFonts w:ascii="Times New Roman" w:hAnsi="Times New Roman" w:cs="Times New Roman"/>
          <w:sz w:val="24"/>
          <w:szCs w:val="24"/>
          <w:lang w:val="en-US"/>
        </w:rPr>
        <w:t>.</w:t>
      </w:r>
    </w:p>
    <w:p w14:paraId="687278F3" w14:textId="77777777" w:rsidR="00C54C2F" w:rsidRPr="00C54C2F" w:rsidRDefault="00C54C2F" w:rsidP="00C54C2F">
      <w:pPr>
        <w:spacing w:line="360" w:lineRule="auto"/>
        <w:jc w:val="both"/>
        <w:rPr>
          <w:rFonts w:ascii="Times New Roman" w:hAnsi="Times New Roman" w:cs="Times New Roman"/>
          <w:sz w:val="24"/>
          <w:szCs w:val="24"/>
          <w:lang w:val="en-US"/>
        </w:rPr>
      </w:pPr>
      <w:r w:rsidRPr="00C54C2F">
        <w:rPr>
          <w:rFonts w:ascii="Times New Roman" w:hAnsi="Times New Roman" w:cs="Times New Roman"/>
          <w:sz w:val="24"/>
          <w:szCs w:val="24"/>
          <w:lang w:val="en-US"/>
        </w:rPr>
        <w:t>Several studies have highlighted that digital evidence is fundamentally different from physical evidence due to its fragility, easy duplicability, and susceptibility to tampering. This necessitates more robust, traceable, and transparent mechanisms to manage and document every action performed on the evidence from collection to presentation in court.</w:t>
      </w:r>
    </w:p>
    <w:p w14:paraId="0A970422" w14:textId="77777777" w:rsidR="00C54C2F" w:rsidRPr="00C54C2F" w:rsidRDefault="00C54C2F" w:rsidP="00C54C2F">
      <w:pPr>
        <w:spacing w:line="360" w:lineRule="auto"/>
        <w:jc w:val="both"/>
        <w:rPr>
          <w:rFonts w:ascii="Times New Roman" w:hAnsi="Times New Roman" w:cs="Times New Roman"/>
          <w:sz w:val="24"/>
          <w:szCs w:val="24"/>
          <w:lang w:val="en-US"/>
        </w:rPr>
      </w:pPr>
      <w:r w:rsidRPr="00C54C2F">
        <w:rPr>
          <w:rFonts w:ascii="Times New Roman" w:hAnsi="Times New Roman" w:cs="Times New Roman"/>
          <w:sz w:val="24"/>
          <w:szCs w:val="24"/>
          <w:lang w:val="en-US"/>
        </w:rPr>
        <w:t>The literature categorizes CoC practices into three primary approaches:</w:t>
      </w:r>
    </w:p>
    <w:p w14:paraId="5E863782" w14:textId="0DC05A52" w:rsidR="00C54C2F" w:rsidRPr="00C54C2F" w:rsidRDefault="00C54C2F" w:rsidP="00C54C2F">
      <w:pPr>
        <w:numPr>
          <w:ilvl w:val="0"/>
          <w:numId w:val="2"/>
        </w:numPr>
        <w:spacing w:line="360" w:lineRule="auto"/>
        <w:jc w:val="both"/>
        <w:rPr>
          <w:rFonts w:ascii="Times New Roman" w:hAnsi="Times New Roman" w:cs="Times New Roman"/>
          <w:sz w:val="24"/>
          <w:szCs w:val="24"/>
          <w:lang w:val="en-US"/>
        </w:rPr>
      </w:pPr>
      <w:r w:rsidRPr="00C54C2F">
        <w:rPr>
          <w:rFonts w:ascii="Times New Roman" w:hAnsi="Times New Roman" w:cs="Times New Roman"/>
          <w:b/>
          <w:bCs/>
          <w:sz w:val="24"/>
          <w:szCs w:val="24"/>
          <w:lang w:val="en-US"/>
        </w:rPr>
        <w:t>Traditional Paper Trail Methods:</w:t>
      </w:r>
      <w:r w:rsidRPr="00C54C2F">
        <w:rPr>
          <w:rFonts w:ascii="Times New Roman" w:hAnsi="Times New Roman" w:cs="Times New Roman"/>
          <w:b/>
          <w:bCs/>
          <w:sz w:val="24"/>
          <w:szCs w:val="24"/>
          <w:lang w:val="en-US"/>
        </w:rPr>
        <w:tab/>
      </w:r>
      <w:r w:rsidRPr="00C54C2F">
        <w:rPr>
          <w:rFonts w:ascii="Times New Roman" w:hAnsi="Times New Roman" w:cs="Times New Roman"/>
          <w:sz w:val="24"/>
          <w:szCs w:val="24"/>
          <w:lang w:val="en-US"/>
        </w:rPr>
        <w:br/>
        <w:t>These involve manual logging of evidence handling activities, often used in legacy systems. While straightforward and easy to implement, paper-based records are prone to errors, loss, and forgery, making them inadequate for complex digital investigations.</w:t>
      </w:r>
    </w:p>
    <w:p w14:paraId="5E0C680B" w14:textId="2755AFA4" w:rsidR="00C54C2F" w:rsidRPr="00C54C2F" w:rsidRDefault="00C54C2F" w:rsidP="00C54C2F">
      <w:pPr>
        <w:numPr>
          <w:ilvl w:val="0"/>
          <w:numId w:val="2"/>
        </w:numPr>
        <w:spacing w:line="360" w:lineRule="auto"/>
        <w:jc w:val="both"/>
        <w:rPr>
          <w:rFonts w:ascii="Times New Roman" w:hAnsi="Times New Roman" w:cs="Times New Roman"/>
          <w:sz w:val="24"/>
          <w:szCs w:val="24"/>
          <w:lang w:val="en-US"/>
        </w:rPr>
      </w:pPr>
      <w:r w:rsidRPr="00C54C2F">
        <w:rPr>
          <w:rFonts w:ascii="Times New Roman" w:hAnsi="Times New Roman" w:cs="Times New Roman"/>
          <w:b/>
          <w:bCs/>
          <w:sz w:val="24"/>
          <w:szCs w:val="24"/>
          <w:lang w:val="en-US"/>
        </w:rPr>
        <w:t>System-Oriented Approaches:</w:t>
      </w:r>
      <w:r w:rsidRPr="00C54C2F">
        <w:rPr>
          <w:rFonts w:ascii="Times New Roman" w:hAnsi="Times New Roman" w:cs="Times New Roman"/>
          <w:b/>
          <w:bCs/>
          <w:sz w:val="24"/>
          <w:szCs w:val="24"/>
          <w:lang w:val="en-US"/>
        </w:rPr>
        <w:tab/>
      </w:r>
      <w:r w:rsidRPr="00C54C2F">
        <w:rPr>
          <w:rFonts w:ascii="Times New Roman" w:hAnsi="Times New Roman" w:cs="Times New Roman"/>
          <w:sz w:val="24"/>
          <w:szCs w:val="24"/>
          <w:lang w:val="en-US"/>
        </w:rPr>
        <w:br/>
        <w:t>These use digital systems such as forensic software tools and databases to automatically log and manage CoC information. While this improves accuracy and speed, it raises concerns about system vulnerabilities and centralized trust.</w:t>
      </w:r>
    </w:p>
    <w:p w14:paraId="1D004477" w14:textId="1D3FF4BB" w:rsidR="00C54C2F" w:rsidRPr="00C54C2F" w:rsidRDefault="00C54C2F" w:rsidP="00C54C2F">
      <w:pPr>
        <w:numPr>
          <w:ilvl w:val="0"/>
          <w:numId w:val="2"/>
        </w:numPr>
        <w:spacing w:line="360" w:lineRule="auto"/>
        <w:jc w:val="both"/>
        <w:rPr>
          <w:rFonts w:ascii="Times New Roman" w:hAnsi="Times New Roman" w:cs="Times New Roman"/>
          <w:sz w:val="24"/>
          <w:szCs w:val="24"/>
          <w:lang w:val="en-US"/>
        </w:rPr>
      </w:pPr>
      <w:r w:rsidRPr="00C54C2F">
        <w:rPr>
          <w:rFonts w:ascii="Times New Roman" w:hAnsi="Times New Roman" w:cs="Times New Roman"/>
          <w:b/>
          <w:bCs/>
          <w:sz w:val="24"/>
          <w:szCs w:val="24"/>
          <w:lang w:val="en-US"/>
        </w:rPr>
        <w:t>Infrastructure-Driven Approaches (e.g., Blockchain-based):</w:t>
      </w:r>
      <w:r w:rsidRPr="00C54C2F">
        <w:rPr>
          <w:rFonts w:ascii="Times New Roman" w:hAnsi="Times New Roman" w:cs="Times New Roman"/>
          <w:b/>
          <w:bCs/>
          <w:sz w:val="24"/>
          <w:szCs w:val="24"/>
          <w:lang w:val="en-US"/>
        </w:rPr>
        <w:tab/>
      </w:r>
      <w:r w:rsidRPr="00C54C2F">
        <w:rPr>
          <w:rFonts w:ascii="Times New Roman" w:hAnsi="Times New Roman" w:cs="Times New Roman"/>
          <w:sz w:val="24"/>
          <w:szCs w:val="24"/>
          <w:lang w:val="en-US"/>
        </w:rPr>
        <w:br/>
        <w:t>The most recent advancements propose using blockchain technology for CoC. Blockchain provides an immutable, decentralized, and transparent ledger, ideal for tracking evidence handling. It ensures that once data is recorded, it cannot be altered, thereby greatly enhancing the security and trustworthiness of digital evidence.</w:t>
      </w:r>
    </w:p>
    <w:p w14:paraId="2E4F543C" w14:textId="77777777" w:rsidR="00C54C2F" w:rsidRPr="00C54C2F" w:rsidRDefault="00C54C2F" w:rsidP="00C54C2F">
      <w:pPr>
        <w:spacing w:line="360" w:lineRule="auto"/>
        <w:jc w:val="both"/>
        <w:rPr>
          <w:rFonts w:ascii="Times New Roman" w:hAnsi="Times New Roman" w:cs="Times New Roman"/>
          <w:sz w:val="24"/>
          <w:szCs w:val="24"/>
          <w:lang w:val="en-US"/>
        </w:rPr>
      </w:pPr>
      <w:r w:rsidRPr="00C54C2F">
        <w:rPr>
          <w:rFonts w:ascii="Times New Roman" w:hAnsi="Times New Roman" w:cs="Times New Roman"/>
          <w:sz w:val="24"/>
          <w:szCs w:val="24"/>
          <w:lang w:val="en-US"/>
        </w:rPr>
        <w:t xml:space="preserve">Comparative analyses in the literature evaluate these CoC models against critical factors such as </w:t>
      </w:r>
      <w:r w:rsidRPr="00C54C2F">
        <w:rPr>
          <w:rFonts w:ascii="Times New Roman" w:hAnsi="Times New Roman" w:cs="Times New Roman"/>
          <w:b/>
          <w:bCs/>
          <w:sz w:val="24"/>
          <w:szCs w:val="24"/>
          <w:lang w:val="en-US"/>
        </w:rPr>
        <w:t>integrity preservation, traceability, scalability, security, and admissibility in court</w:t>
      </w:r>
      <w:r w:rsidRPr="00C54C2F">
        <w:rPr>
          <w:rFonts w:ascii="Times New Roman" w:hAnsi="Times New Roman" w:cs="Times New Roman"/>
          <w:sz w:val="24"/>
          <w:szCs w:val="24"/>
          <w:lang w:val="en-US"/>
        </w:rPr>
        <w:t>. While traditional and system-based methods offer practical benefits, they often fall short in transparency and tamper resistance. Blockchain-based solutions emerge as a promising alternative, offering cryptographic assurance of integrity and auditability, though they come with higher implementation complexity and resource costs.</w:t>
      </w:r>
    </w:p>
    <w:p w14:paraId="5DC8EB9F" w14:textId="791AE76C" w:rsidR="0096681E" w:rsidRPr="0096681E" w:rsidRDefault="0096681E" w:rsidP="0096681E">
      <w:pPr>
        <w:jc w:val="both"/>
        <w:rPr>
          <w:rFonts w:ascii="Times New Roman" w:hAnsi="Times New Roman" w:cs="Times New Roman"/>
          <w:sz w:val="20"/>
          <w:szCs w:val="20"/>
        </w:rPr>
      </w:pPr>
    </w:p>
    <w:sectPr w:rsidR="0096681E" w:rsidRPr="00966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41278"/>
    <w:multiLevelType w:val="hybridMultilevel"/>
    <w:tmpl w:val="17D836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5A2291"/>
    <w:multiLevelType w:val="multilevel"/>
    <w:tmpl w:val="B202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250082">
    <w:abstractNumId w:val="0"/>
  </w:num>
  <w:num w:numId="2" w16cid:durableId="115415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78"/>
    <w:rsid w:val="002331DF"/>
    <w:rsid w:val="00246D94"/>
    <w:rsid w:val="00567278"/>
    <w:rsid w:val="0096681E"/>
    <w:rsid w:val="00C54C2F"/>
    <w:rsid w:val="00DE6761"/>
    <w:rsid w:val="00E07554"/>
    <w:rsid w:val="00EA2ADA"/>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6FBB"/>
  <w15:chartTrackingRefBased/>
  <w15:docId w15:val="{9C62C9F0-35E9-48AE-8BEC-15E29596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278"/>
    <w:rPr>
      <w:rFonts w:eastAsiaTheme="majorEastAsia" w:cstheme="majorBidi"/>
      <w:color w:val="272727" w:themeColor="text1" w:themeTint="D8"/>
    </w:rPr>
  </w:style>
  <w:style w:type="paragraph" w:styleId="Title">
    <w:name w:val="Title"/>
    <w:basedOn w:val="Normal"/>
    <w:next w:val="Normal"/>
    <w:link w:val="TitleChar"/>
    <w:uiPriority w:val="10"/>
    <w:qFormat/>
    <w:rsid w:val="0056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278"/>
    <w:pPr>
      <w:spacing w:before="160"/>
      <w:jc w:val="center"/>
    </w:pPr>
    <w:rPr>
      <w:i/>
      <w:iCs/>
      <w:color w:val="404040" w:themeColor="text1" w:themeTint="BF"/>
    </w:rPr>
  </w:style>
  <w:style w:type="character" w:customStyle="1" w:styleId="QuoteChar">
    <w:name w:val="Quote Char"/>
    <w:basedOn w:val="DefaultParagraphFont"/>
    <w:link w:val="Quote"/>
    <w:uiPriority w:val="29"/>
    <w:rsid w:val="00567278"/>
    <w:rPr>
      <w:i/>
      <w:iCs/>
      <w:color w:val="404040" w:themeColor="text1" w:themeTint="BF"/>
    </w:rPr>
  </w:style>
  <w:style w:type="paragraph" w:styleId="ListParagraph">
    <w:name w:val="List Paragraph"/>
    <w:basedOn w:val="Normal"/>
    <w:uiPriority w:val="34"/>
    <w:qFormat/>
    <w:rsid w:val="00567278"/>
    <w:pPr>
      <w:ind w:left="720"/>
      <w:contextualSpacing/>
    </w:pPr>
  </w:style>
  <w:style w:type="character" w:styleId="IntenseEmphasis">
    <w:name w:val="Intense Emphasis"/>
    <w:basedOn w:val="DefaultParagraphFont"/>
    <w:uiPriority w:val="21"/>
    <w:qFormat/>
    <w:rsid w:val="00567278"/>
    <w:rPr>
      <w:i/>
      <w:iCs/>
      <w:color w:val="2F5496" w:themeColor="accent1" w:themeShade="BF"/>
    </w:rPr>
  </w:style>
  <w:style w:type="paragraph" w:styleId="IntenseQuote">
    <w:name w:val="Intense Quote"/>
    <w:basedOn w:val="Normal"/>
    <w:next w:val="Normal"/>
    <w:link w:val="IntenseQuoteChar"/>
    <w:uiPriority w:val="30"/>
    <w:qFormat/>
    <w:rsid w:val="00567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278"/>
    <w:rPr>
      <w:i/>
      <w:iCs/>
      <w:color w:val="2F5496" w:themeColor="accent1" w:themeShade="BF"/>
    </w:rPr>
  </w:style>
  <w:style w:type="character" w:styleId="IntenseReference">
    <w:name w:val="Intense Reference"/>
    <w:basedOn w:val="DefaultParagraphFont"/>
    <w:uiPriority w:val="32"/>
    <w:qFormat/>
    <w:rsid w:val="00567278"/>
    <w:rPr>
      <w:b/>
      <w:bCs/>
      <w:smallCaps/>
      <w:color w:val="2F5496" w:themeColor="accent1" w:themeShade="BF"/>
      <w:spacing w:val="5"/>
    </w:rPr>
  </w:style>
  <w:style w:type="character" w:styleId="Hyperlink">
    <w:name w:val="Hyperlink"/>
    <w:basedOn w:val="DefaultParagraphFont"/>
    <w:uiPriority w:val="99"/>
    <w:unhideWhenUsed/>
    <w:rsid w:val="00EA2ADA"/>
    <w:rPr>
      <w:color w:val="0563C1" w:themeColor="hyperlink"/>
      <w:u w:val="single"/>
    </w:rPr>
  </w:style>
  <w:style w:type="character" w:styleId="UnresolvedMention">
    <w:name w:val="Unresolved Mention"/>
    <w:basedOn w:val="DefaultParagraphFont"/>
    <w:uiPriority w:val="99"/>
    <w:semiHidden/>
    <w:unhideWhenUsed/>
    <w:rsid w:val="00EA2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95613">
      <w:bodyDiv w:val="1"/>
      <w:marLeft w:val="0"/>
      <w:marRight w:val="0"/>
      <w:marTop w:val="0"/>
      <w:marBottom w:val="0"/>
      <w:divBdr>
        <w:top w:val="none" w:sz="0" w:space="0" w:color="auto"/>
        <w:left w:val="none" w:sz="0" w:space="0" w:color="auto"/>
        <w:bottom w:val="none" w:sz="0" w:space="0" w:color="auto"/>
        <w:right w:val="none" w:sz="0" w:space="0" w:color="auto"/>
      </w:divBdr>
    </w:div>
    <w:div w:id="457139704">
      <w:bodyDiv w:val="1"/>
      <w:marLeft w:val="0"/>
      <w:marRight w:val="0"/>
      <w:marTop w:val="0"/>
      <w:marBottom w:val="0"/>
      <w:divBdr>
        <w:top w:val="none" w:sz="0" w:space="0" w:color="auto"/>
        <w:left w:val="none" w:sz="0" w:space="0" w:color="auto"/>
        <w:bottom w:val="none" w:sz="0" w:space="0" w:color="auto"/>
        <w:right w:val="none" w:sz="0" w:space="0" w:color="auto"/>
      </w:divBdr>
    </w:div>
    <w:div w:id="1759476908">
      <w:bodyDiv w:val="1"/>
      <w:marLeft w:val="0"/>
      <w:marRight w:val="0"/>
      <w:marTop w:val="0"/>
      <w:marBottom w:val="0"/>
      <w:divBdr>
        <w:top w:val="none" w:sz="0" w:space="0" w:color="auto"/>
        <w:left w:val="none" w:sz="0" w:space="0" w:color="auto"/>
        <w:bottom w:val="none" w:sz="0" w:space="0" w:color="auto"/>
        <w:right w:val="none" w:sz="0" w:space="0" w:color="auto"/>
      </w:divBdr>
    </w:div>
    <w:div w:id="213871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Admin</cp:lastModifiedBy>
  <cp:revision>4</cp:revision>
  <dcterms:created xsi:type="dcterms:W3CDTF">2025-04-15T15:11:00Z</dcterms:created>
  <dcterms:modified xsi:type="dcterms:W3CDTF">2025-07-12T09:22:00Z</dcterms:modified>
</cp:coreProperties>
</file>