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559B"/>
          <w:sz w:val="48"/>
        </w:rPr>
        <w:t>AICTE | IBM SkillsBuild Internship Project Report</w:t>
      </w:r>
    </w:p>
    <w:p>
      <w:pPr>
        <w:spacing w:after="360"/>
        <w:jc w:val="center"/>
      </w:pPr>
      <w:r>
        <w:rPr>
          <w:rFonts w:ascii="Calibri" w:hAnsi="Calibri"/>
          <w:i/>
          <w:color w:val="5A6978"/>
          <w:sz w:val="26"/>
        </w:rPr>
        <w:t>Data Analytics with AI Academic Internship 2026 • BharatCares &amp; AICTE</w:t>
      </w:r>
    </w:p>
    <w:p>
      <w:pPr>
        <w:spacing w:after="360"/>
        <w:jc w:val="center"/>
      </w:pPr>
      <w:r>
        <w:rPr>
          <w:rFonts w:ascii="Calibri" w:hAnsi="Calibri"/>
          <w:b/>
          <w:color w:val="464646"/>
          <w:sz w:val="22"/>
        </w:rPr>
        <w:t>Project Title: End-to-End House Price Prediction System</w:t>
        <w:br/>
        <w:t>Domain: Data Analytics &amp; Machine Learning</w:t>
        <w:br/>
        <w:t>Technology Stack: Python, Scikit-Learn, Pandas, NumPy, Matplotlib, Streamlit</w:t>
      </w:r>
    </w:p>
    <w:p>
      <w:pPr>
        <w:spacing w:before="280" w:after="120"/>
      </w:pPr>
      <w:r>
        <w:rPr>
          <w:rFonts w:ascii="Calibri" w:hAnsi="Calibri"/>
          <w:b/>
          <w:color w:val="1B559B"/>
          <w:sz w:val="32"/>
        </w:rPr>
        <w:t>1. Executive Summary</w:t>
      </w:r>
    </w:p>
    <w:p>
      <w:pPr>
        <w:spacing w:after="120" w:line="276" w:lineRule="auto"/>
      </w:pPr>
      <w:r>
        <w:rPr>
          <w:rFonts w:ascii="Calibri" w:hAnsi="Calibri"/>
          <w:color w:val="212121"/>
          <w:sz w:val="22"/>
        </w:rPr>
        <w:t>Real estate valuation is an essential component of financial planning, mortgage underwriting, municipal taxation, and property investment. Traditional appraisal approaches often rely on manual comparisons, leading to subjective valuations and substantial turnaround times. This capstone project, completed under the AICTE | IBM SkillsBuild Data Analytics with AI Academic Internship Program (conducted by BharatCares), develops an automated, end-to-end Machine Learning House Price Prediction System.</w:t>
      </w:r>
    </w:p>
    <w:p>
      <w:pPr>
        <w:spacing w:after="120" w:line="276" w:lineRule="auto"/>
      </w:pPr>
      <w:r>
        <w:rPr>
          <w:rFonts w:ascii="Calibri" w:hAnsi="Calibri"/>
          <w:color w:val="212121"/>
          <w:sz w:val="22"/>
        </w:rPr>
        <w:t>The project leverages the California Housing Census benchmark dataset comprising 20,640 district observations. A multi-model comparative machine learning pipeline was engineered to evaluate Linear Regression, Ridge Regression, Random Forest, and Gradient Boosting algorithms. The Gradient Boosting Regressor achieved the highest predictive performance with an R² score of 0.8193, an MAE of $32,586.08, and an RMSE of $48,662.08. To bridge analytical modeling with practical application, a fully interactive web frontend was built entirely in Python using Streamlit, featuring real-time single-property prediction with confidence intervals, exploratory data analysis dashboards, California geospatial mapping, model benchmarking, and batch CSV valuation capabilities.</w:t>
      </w:r>
    </w:p>
    <w:p>
      <w:pPr>
        <w:spacing w:before="280" w:after="120"/>
      </w:pPr>
      <w:r>
        <w:rPr>
          <w:rFonts w:ascii="Calibri" w:hAnsi="Calibri"/>
          <w:b/>
          <w:color w:val="1B559B"/>
          <w:sz w:val="32"/>
        </w:rPr>
        <w:t>2. Problem Statement &amp; Objectives</w:t>
      </w:r>
    </w:p>
    <w:p>
      <w:pPr>
        <w:spacing w:before="200" w:after="80"/>
      </w:pPr>
      <w:r>
        <w:rPr>
          <w:rFonts w:ascii="Calibri" w:hAnsi="Calibri"/>
          <w:b/>
          <w:color w:val="2E7D32"/>
          <w:sz w:val="26"/>
        </w:rPr>
        <w:t>2.1 Problem Statement</w:t>
      </w:r>
    </w:p>
    <w:p>
      <w:pPr>
        <w:spacing w:after="120" w:line="276" w:lineRule="auto"/>
      </w:pPr>
      <w:r>
        <w:rPr>
          <w:rFonts w:ascii="Calibri" w:hAnsi="Calibri"/>
          <w:color w:val="212121"/>
          <w:sz w:val="22"/>
        </w:rPr>
        <w:t>Property market valuations are influenced by complex, non-linear interactions across socio-economic demographics, geographic positioning, house age, room compositions, and neighborhood density. The challenge is to construct an accurate, explainable regression model capable of capturing these multidimensional factors while delivering a user-friendly interface accessible to non-technical stakeholders.</w:t>
      </w:r>
    </w:p>
    <w:p>
      <w:pPr>
        <w:spacing w:before="200" w:after="80"/>
      </w:pPr>
      <w:r>
        <w:rPr>
          <w:rFonts w:ascii="Calibri" w:hAnsi="Calibri"/>
          <w:b/>
          <w:color w:val="2E7D32"/>
          <w:sz w:val="26"/>
        </w:rPr>
        <w:t>2.2 Key Objectives</w:t>
      </w:r>
    </w:p>
    <w:p>
      <w:pPr>
        <w:spacing w:after="120" w:line="276" w:lineRule="auto"/>
      </w:pPr>
      <w:r>
        <w:rPr>
          <w:rFonts w:ascii="Calibri" w:hAnsi="Calibri"/>
          <w:b/>
          <w:sz w:val="22"/>
        </w:rPr>
        <w:t xml:space="preserve">• Data Processing: </w:t>
      </w:r>
      <w:r>
        <w:rPr>
          <w:rFonts w:ascii="Calibri" w:hAnsi="Calibri"/>
          <w:color w:val="212121"/>
          <w:sz w:val="22"/>
        </w:rPr>
        <w:t>To acquire, clean, and preprocess the 20,640-record housing dataset, engineering derived ratios such as Bedrooms-per-Room.</w:t>
      </w:r>
    </w:p>
    <w:p>
      <w:pPr>
        <w:spacing w:after="120" w:line="276" w:lineRule="auto"/>
      </w:pPr>
      <w:r>
        <w:rPr>
          <w:rFonts w:ascii="Calibri" w:hAnsi="Calibri"/>
          <w:b/>
          <w:sz w:val="22"/>
        </w:rPr>
        <w:t xml:space="preserve">• Exploratory Analysis: </w:t>
      </w:r>
      <w:r>
        <w:rPr>
          <w:rFonts w:ascii="Calibri" w:hAnsi="Calibri"/>
          <w:color w:val="212121"/>
          <w:sz w:val="22"/>
        </w:rPr>
        <w:t>To perform rigorous statistical and geospatial Exploratory Data Analysis (EDA) to understand feature distributions and price correlations.</w:t>
      </w:r>
    </w:p>
    <w:p>
      <w:pPr>
        <w:spacing w:after="120" w:line="276" w:lineRule="auto"/>
      </w:pPr>
      <w:r>
        <w:rPr>
          <w:rFonts w:ascii="Calibri" w:hAnsi="Calibri"/>
          <w:b/>
          <w:sz w:val="22"/>
        </w:rPr>
        <w:t xml:space="preserve">• Machine Learning Modeling: </w:t>
      </w:r>
      <w:r>
        <w:rPr>
          <w:rFonts w:ascii="Calibri" w:hAnsi="Calibri"/>
          <w:color w:val="212121"/>
          <w:sz w:val="22"/>
        </w:rPr>
        <w:t>To train and benchmark multiple machine learning regression algorithms using standardized cross-validation splits.</w:t>
      </w:r>
    </w:p>
    <w:p>
      <w:pPr>
        <w:spacing w:after="120" w:line="276" w:lineRule="auto"/>
      </w:pPr>
      <w:r>
        <w:rPr>
          <w:rFonts w:ascii="Calibri" w:hAnsi="Calibri"/>
          <w:b/>
          <w:sz w:val="22"/>
        </w:rPr>
        <w:t xml:space="preserve">• Model Optimization: </w:t>
      </w:r>
      <w:r>
        <w:rPr>
          <w:rFonts w:ascii="Calibri" w:hAnsi="Calibri"/>
          <w:color w:val="212121"/>
          <w:sz w:val="22"/>
        </w:rPr>
        <w:t>To select, optimize, and serialize the best-performing model (Gradient Boosting Regressor) alongside feature transformation artifacts.</w:t>
      </w:r>
    </w:p>
    <w:p>
      <w:pPr>
        <w:spacing w:after="120" w:line="276" w:lineRule="auto"/>
      </w:pPr>
      <w:r>
        <w:rPr>
          <w:rFonts w:ascii="Calibri" w:hAnsi="Calibri"/>
          <w:b/>
          <w:sz w:val="22"/>
        </w:rPr>
        <w:t xml:space="preserve">• Interactive Web Frontend: </w:t>
      </w:r>
      <w:r>
        <w:rPr>
          <w:rFonts w:ascii="Calibri" w:hAnsi="Calibri"/>
          <w:color w:val="212121"/>
          <w:sz w:val="22"/>
        </w:rPr>
        <w:t>To design and deploy a responsive, purely Python-based Streamlit frontend offering interactive prediction, EDA visualizations, geospatial maps, and bulk batch processing.</w:t>
      </w:r>
    </w:p>
    <w:p>
      <w:pPr>
        <w:spacing w:before="280" w:after="120"/>
      </w:pPr>
      <w:r>
        <w:rPr>
          <w:rFonts w:ascii="Calibri" w:hAnsi="Calibri"/>
          <w:b/>
          <w:color w:val="1B559B"/>
          <w:sz w:val="32"/>
        </w:rPr>
        <w:t>3. Dataset Description &amp; Exploratory Data Analysis</w:t>
      </w:r>
    </w:p>
    <w:p>
      <w:pPr>
        <w:spacing w:after="120" w:line="276" w:lineRule="auto"/>
      </w:pPr>
      <w:r>
        <w:rPr>
          <w:rFonts w:ascii="Calibri" w:hAnsi="Calibri"/>
          <w:color w:val="212121"/>
          <w:sz w:val="22"/>
        </w:rPr>
        <w:t>The project utilizes the California Housing census dataset containing 20,640 geographical block records. The target variable (Median House Value) has been converted to true US Dollar ($) amounts for intuitive real-world valuation.</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120" w:type="dxa"/>
              <w:bottom w:w="120" w:type="dxa"/>
              <w:left w:w="160" w:type="dxa"/>
              <w:right w:w="160" w:type="dxa"/>
            </w:tcMar>
            <w:shd w:fill="1B559B"/>
          </w:tcPr>
          <w:p>
            <w:r>
              <w:rPr>
                <w:rFonts w:ascii="Calibri" w:hAnsi="Calibri"/>
                <w:b/>
                <w:color w:val="FFFFFF"/>
              </w:rPr>
              <w:t>Feature Name</w:t>
            </w:r>
          </w:p>
        </w:tc>
        <w:tc>
          <w:tcPr>
            <w:tcW w:type="dxa" w:w="3120"/>
            <w:vAlign w:val="center"/>
            <w:tcMar>
              <w:top w:w="120" w:type="dxa"/>
              <w:bottom w:w="120" w:type="dxa"/>
              <w:left w:w="160" w:type="dxa"/>
              <w:right w:w="160" w:type="dxa"/>
            </w:tcMar>
            <w:shd w:fill="1B559B"/>
          </w:tcPr>
          <w:p>
            <w:r>
              <w:rPr>
                <w:rFonts w:ascii="Calibri" w:hAnsi="Calibri"/>
                <w:b/>
                <w:color w:val="FFFFFF"/>
              </w:rPr>
              <w:t>Data Type / Range</w:t>
            </w:r>
          </w:p>
        </w:tc>
        <w:tc>
          <w:tcPr>
            <w:tcW w:type="dxa" w:w="3120"/>
            <w:vAlign w:val="center"/>
            <w:tcMar>
              <w:top w:w="120" w:type="dxa"/>
              <w:bottom w:w="120" w:type="dxa"/>
              <w:left w:w="160" w:type="dxa"/>
              <w:right w:w="160" w:type="dxa"/>
            </w:tcMar>
            <w:shd w:fill="1B559B"/>
          </w:tcPr>
          <w:p>
            <w:r>
              <w:rPr>
                <w:rFonts w:ascii="Calibri" w:hAnsi="Calibri"/>
                <w:b/>
                <w:color w:val="FFFFFF"/>
              </w:rPr>
              <w:t>Domain Description</w:t>
            </w:r>
          </w:p>
        </w:tc>
      </w:tr>
      <w:tr>
        <w:tc>
          <w:tcPr>
            <w:tcW w:type="dxa" w:w="3120"/>
            <w:vAlign w:val="center"/>
            <w:tcMar>
              <w:top w:w="120" w:type="dxa"/>
              <w:bottom w:w="120" w:type="dxa"/>
              <w:left w:w="160" w:type="dxa"/>
              <w:right w:w="160" w:type="dxa"/>
            </w:tcMar>
            <w:shd w:fill="F4F6F9"/>
          </w:tcPr>
          <w:p>
            <w:r>
              <w:rPr>
                <w:rFonts w:ascii="Calibri" w:hAnsi="Calibri"/>
                <w:color w:val="212121"/>
              </w:rPr>
              <w:t>MedInc</w:t>
            </w:r>
          </w:p>
        </w:tc>
        <w:tc>
          <w:tcPr>
            <w:tcW w:type="dxa" w:w="3120"/>
            <w:vAlign w:val="center"/>
            <w:tcMar>
              <w:top w:w="120" w:type="dxa"/>
              <w:bottom w:w="120" w:type="dxa"/>
              <w:left w:w="160" w:type="dxa"/>
              <w:right w:w="160" w:type="dxa"/>
            </w:tcMar>
            <w:shd w:fill="F4F6F9"/>
          </w:tcPr>
          <w:p>
            <w:r>
              <w:rPr>
                <w:rFonts w:ascii="Calibri" w:hAnsi="Calibri"/>
                <w:color w:val="212121"/>
              </w:rPr>
              <w:t>Float ($5k - $150k)</w:t>
            </w:r>
          </w:p>
        </w:tc>
        <w:tc>
          <w:tcPr>
            <w:tcW w:type="dxa" w:w="3120"/>
            <w:vAlign w:val="center"/>
            <w:tcMar>
              <w:top w:w="120" w:type="dxa"/>
              <w:bottom w:w="120" w:type="dxa"/>
              <w:left w:w="160" w:type="dxa"/>
              <w:right w:w="160" w:type="dxa"/>
            </w:tcMar>
            <w:shd w:fill="F4F6F9"/>
          </w:tcPr>
          <w:p>
            <w:r>
              <w:rPr>
                <w:rFonts w:ascii="Calibri" w:hAnsi="Calibri"/>
                <w:color w:val="212121"/>
              </w:rPr>
              <w:t>Median household income within the district block</w:t>
            </w:r>
          </w:p>
        </w:tc>
      </w:tr>
      <w:tr>
        <w:tc>
          <w:tcPr>
            <w:tcW w:type="dxa" w:w="3120"/>
            <w:vAlign w:val="center"/>
            <w:tcMar>
              <w:top w:w="120" w:type="dxa"/>
              <w:bottom w:w="120" w:type="dxa"/>
              <w:left w:w="160" w:type="dxa"/>
              <w:right w:w="160" w:type="dxa"/>
            </w:tcMar>
          </w:tcPr>
          <w:p>
            <w:r>
              <w:rPr>
                <w:rFonts w:ascii="Calibri" w:hAnsi="Calibri"/>
                <w:color w:val="212121"/>
              </w:rPr>
              <w:t>HouseAge</w:t>
            </w:r>
          </w:p>
        </w:tc>
        <w:tc>
          <w:tcPr>
            <w:tcW w:type="dxa" w:w="3120"/>
            <w:vAlign w:val="center"/>
            <w:tcMar>
              <w:top w:w="120" w:type="dxa"/>
              <w:bottom w:w="120" w:type="dxa"/>
              <w:left w:w="160" w:type="dxa"/>
              <w:right w:w="160" w:type="dxa"/>
            </w:tcMar>
          </w:tcPr>
          <w:p>
            <w:r>
              <w:rPr>
                <w:rFonts w:ascii="Calibri" w:hAnsi="Calibri"/>
                <w:color w:val="212121"/>
              </w:rPr>
              <w:t>Float (1 - 52 yrs)</w:t>
            </w:r>
          </w:p>
        </w:tc>
        <w:tc>
          <w:tcPr>
            <w:tcW w:type="dxa" w:w="3120"/>
            <w:vAlign w:val="center"/>
            <w:tcMar>
              <w:top w:w="120" w:type="dxa"/>
              <w:bottom w:w="120" w:type="dxa"/>
              <w:left w:w="160" w:type="dxa"/>
              <w:right w:w="160" w:type="dxa"/>
            </w:tcMar>
          </w:tcPr>
          <w:p>
            <w:r>
              <w:rPr>
                <w:rFonts w:ascii="Calibri" w:hAnsi="Calibri"/>
                <w:color w:val="212121"/>
              </w:rPr>
              <w:t>Median age of residential structures in the block</w:t>
            </w:r>
          </w:p>
        </w:tc>
      </w:tr>
      <w:tr>
        <w:tc>
          <w:tcPr>
            <w:tcW w:type="dxa" w:w="3120"/>
            <w:vAlign w:val="center"/>
            <w:tcMar>
              <w:top w:w="120" w:type="dxa"/>
              <w:bottom w:w="120" w:type="dxa"/>
              <w:left w:w="160" w:type="dxa"/>
              <w:right w:w="160" w:type="dxa"/>
            </w:tcMar>
            <w:shd w:fill="F4F6F9"/>
          </w:tcPr>
          <w:p>
            <w:r>
              <w:rPr>
                <w:rFonts w:ascii="Calibri" w:hAnsi="Calibri"/>
                <w:color w:val="212121"/>
              </w:rPr>
              <w:t>AveRooms</w:t>
            </w:r>
          </w:p>
        </w:tc>
        <w:tc>
          <w:tcPr>
            <w:tcW w:type="dxa" w:w="3120"/>
            <w:vAlign w:val="center"/>
            <w:tcMar>
              <w:top w:w="120" w:type="dxa"/>
              <w:bottom w:w="120" w:type="dxa"/>
              <w:left w:w="160" w:type="dxa"/>
              <w:right w:w="160" w:type="dxa"/>
            </w:tcMar>
            <w:shd w:fill="F4F6F9"/>
          </w:tcPr>
          <w:p>
            <w:r>
              <w:rPr>
                <w:rFonts w:ascii="Calibri" w:hAnsi="Calibri"/>
                <w:color w:val="212121"/>
              </w:rPr>
              <w:t>Float (1 - 15 rooms)</w:t>
            </w:r>
          </w:p>
        </w:tc>
        <w:tc>
          <w:tcPr>
            <w:tcW w:type="dxa" w:w="3120"/>
            <w:vAlign w:val="center"/>
            <w:tcMar>
              <w:top w:w="120" w:type="dxa"/>
              <w:bottom w:w="120" w:type="dxa"/>
              <w:left w:w="160" w:type="dxa"/>
              <w:right w:w="160" w:type="dxa"/>
            </w:tcMar>
            <w:shd w:fill="F4F6F9"/>
          </w:tcPr>
          <w:p>
            <w:r>
              <w:rPr>
                <w:rFonts w:ascii="Calibri" w:hAnsi="Calibri"/>
                <w:color w:val="212121"/>
              </w:rPr>
              <w:t>Average number of total rooms per household</w:t>
            </w:r>
          </w:p>
        </w:tc>
      </w:tr>
      <w:tr>
        <w:tc>
          <w:tcPr>
            <w:tcW w:type="dxa" w:w="3120"/>
            <w:vAlign w:val="center"/>
            <w:tcMar>
              <w:top w:w="120" w:type="dxa"/>
              <w:bottom w:w="120" w:type="dxa"/>
              <w:left w:w="160" w:type="dxa"/>
              <w:right w:w="160" w:type="dxa"/>
            </w:tcMar>
          </w:tcPr>
          <w:p>
            <w:r>
              <w:rPr>
                <w:rFonts w:ascii="Calibri" w:hAnsi="Calibri"/>
                <w:color w:val="212121"/>
              </w:rPr>
              <w:t>AveBedrms</w:t>
            </w:r>
          </w:p>
        </w:tc>
        <w:tc>
          <w:tcPr>
            <w:tcW w:type="dxa" w:w="3120"/>
            <w:vAlign w:val="center"/>
            <w:tcMar>
              <w:top w:w="120" w:type="dxa"/>
              <w:bottom w:w="120" w:type="dxa"/>
              <w:left w:w="160" w:type="dxa"/>
              <w:right w:w="160" w:type="dxa"/>
            </w:tcMar>
          </w:tcPr>
          <w:p>
            <w:r>
              <w:rPr>
                <w:rFonts w:ascii="Calibri" w:hAnsi="Calibri"/>
                <w:color w:val="212121"/>
              </w:rPr>
              <w:t>Float (0.5 - 6 bedrooms)</w:t>
            </w:r>
          </w:p>
        </w:tc>
        <w:tc>
          <w:tcPr>
            <w:tcW w:type="dxa" w:w="3120"/>
            <w:vAlign w:val="center"/>
            <w:tcMar>
              <w:top w:w="120" w:type="dxa"/>
              <w:bottom w:w="120" w:type="dxa"/>
              <w:left w:w="160" w:type="dxa"/>
              <w:right w:w="160" w:type="dxa"/>
            </w:tcMar>
          </w:tcPr>
          <w:p>
            <w:r>
              <w:rPr>
                <w:rFonts w:ascii="Calibri" w:hAnsi="Calibri"/>
                <w:color w:val="212121"/>
              </w:rPr>
              <w:t>Average number of dedicated bedrooms per household</w:t>
            </w:r>
          </w:p>
        </w:tc>
      </w:tr>
      <w:tr>
        <w:tc>
          <w:tcPr>
            <w:tcW w:type="dxa" w:w="3120"/>
            <w:vAlign w:val="center"/>
            <w:tcMar>
              <w:top w:w="120" w:type="dxa"/>
              <w:bottom w:w="120" w:type="dxa"/>
              <w:left w:w="160" w:type="dxa"/>
              <w:right w:w="160" w:type="dxa"/>
            </w:tcMar>
            <w:shd w:fill="F4F6F9"/>
          </w:tcPr>
          <w:p>
            <w:r>
              <w:rPr>
                <w:rFonts w:ascii="Calibri" w:hAnsi="Calibri"/>
                <w:color w:val="212121"/>
              </w:rPr>
              <w:t>Population</w:t>
            </w:r>
          </w:p>
        </w:tc>
        <w:tc>
          <w:tcPr>
            <w:tcW w:type="dxa" w:w="3120"/>
            <w:vAlign w:val="center"/>
            <w:tcMar>
              <w:top w:w="120" w:type="dxa"/>
              <w:bottom w:w="120" w:type="dxa"/>
              <w:left w:w="160" w:type="dxa"/>
              <w:right w:w="160" w:type="dxa"/>
            </w:tcMar>
            <w:shd w:fill="F4F6F9"/>
          </w:tcPr>
          <w:p>
            <w:r>
              <w:rPr>
                <w:rFonts w:ascii="Calibri" w:hAnsi="Calibri"/>
                <w:color w:val="212121"/>
              </w:rPr>
              <w:t>Float (100 - 10,000)</w:t>
            </w:r>
          </w:p>
        </w:tc>
        <w:tc>
          <w:tcPr>
            <w:tcW w:type="dxa" w:w="3120"/>
            <w:vAlign w:val="center"/>
            <w:tcMar>
              <w:top w:w="120" w:type="dxa"/>
              <w:bottom w:w="120" w:type="dxa"/>
              <w:left w:w="160" w:type="dxa"/>
              <w:right w:w="160" w:type="dxa"/>
            </w:tcMar>
            <w:shd w:fill="F4F6F9"/>
          </w:tcPr>
          <w:p>
            <w:r>
              <w:rPr>
                <w:rFonts w:ascii="Calibri" w:hAnsi="Calibri"/>
                <w:color w:val="212121"/>
              </w:rPr>
              <w:t>Total population residing within the census block</w:t>
            </w:r>
          </w:p>
        </w:tc>
      </w:tr>
      <w:tr>
        <w:tc>
          <w:tcPr>
            <w:tcW w:type="dxa" w:w="3120"/>
            <w:vAlign w:val="center"/>
            <w:tcMar>
              <w:top w:w="120" w:type="dxa"/>
              <w:bottom w:w="120" w:type="dxa"/>
              <w:left w:w="160" w:type="dxa"/>
              <w:right w:w="160" w:type="dxa"/>
            </w:tcMar>
          </w:tcPr>
          <w:p>
            <w:r>
              <w:rPr>
                <w:rFonts w:ascii="Calibri" w:hAnsi="Calibri"/>
                <w:color w:val="212121"/>
              </w:rPr>
              <w:t>AveOccup</w:t>
            </w:r>
          </w:p>
        </w:tc>
        <w:tc>
          <w:tcPr>
            <w:tcW w:type="dxa" w:w="3120"/>
            <w:vAlign w:val="center"/>
            <w:tcMar>
              <w:top w:w="120" w:type="dxa"/>
              <w:bottom w:w="120" w:type="dxa"/>
              <w:left w:w="160" w:type="dxa"/>
              <w:right w:w="160" w:type="dxa"/>
            </w:tcMar>
          </w:tcPr>
          <w:p>
            <w:r>
              <w:rPr>
                <w:rFonts w:ascii="Calibri" w:hAnsi="Calibri"/>
                <w:color w:val="212121"/>
              </w:rPr>
              <w:t>Float (1 - 8 persons)</w:t>
            </w:r>
          </w:p>
        </w:tc>
        <w:tc>
          <w:tcPr>
            <w:tcW w:type="dxa" w:w="3120"/>
            <w:vAlign w:val="center"/>
            <w:tcMar>
              <w:top w:w="120" w:type="dxa"/>
              <w:bottom w:w="120" w:type="dxa"/>
              <w:left w:w="160" w:type="dxa"/>
              <w:right w:w="160" w:type="dxa"/>
            </w:tcMar>
          </w:tcPr>
          <w:p>
            <w:r>
              <w:rPr>
                <w:rFonts w:ascii="Calibri" w:hAnsi="Calibri"/>
                <w:color w:val="212121"/>
              </w:rPr>
              <w:t>Average count of occupants per residential unit</w:t>
            </w:r>
          </w:p>
        </w:tc>
      </w:tr>
      <w:tr>
        <w:tc>
          <w:tcPr>
            <w:tcW w:type="dxa" w:w="3120"/>
            <w:vAlign w:val="center"/>
            <w:tcMar>
              <w:top w:w="120" w:type="dxa"/>
              <w:bottom w:w="120" w:type="dxa"/>
              <w:left w:w="160" w:type="dxa"/>
              <w:right w:w="160" w:type="dxa"/>
            </w:tcMar>
            <w:shd w:fill="F4F6F9"/>
          </w:tcPr>
          <w:p>
            <w:r>
              <w:rPr>
                <w:rFonts w:ascii="Calibri" w:hAnsi="Calibri"/>
                <w:color w:val="212121"/>
              </w:rPr>
              <w:t>Latitude</w:t>
            </w:r>
          </w:p>
        </w:tc>
        <w:tc>
          <w:tcPr>
            <w:tcW w:type="dxa" w:w="3120"/>
            <w:vAlign w:val="center"/>
            <w:tcMar>
              <w:top w:w="120" w:type="dxa"/>
              <w:bottom w:w="120" w:type="dxa"/>
              <w:left w:w="160" w:type="dxa"/>
              <w:right w:w="160" w:type="dxa"/>
            </w:tcMar>
            <w:shd w:fill="F4F6F9"/>
          </w:tcPr>
          <w:p>
            <w:r>
              <w:rPr>
                <w:rFonts w:ascii="Calibri" w:hAnsi="Calibri"/>
                <w:color w:val="212121"/>
              </w:rPr>
              <w:t>Float (32.5°N - 42.0°N)</w:t>
            </w:r>
          </w:p>
        </w:tc>
        <w:tc>
          <w:tcPr>
            <w:tcW w:type="dxa" w:w="3120"/>
            <w:vAlign w:val="center"/>
            <w:tcMar>
              <w:top w:w="120" w:type="dxa"/>
              <w:bottom w:w="120" w:type="dxa"/>
              <w:left w:w="160" w:type="dxa"/>
              <w:right w:w="160" w:type="dxa"/>
            </w:tcMar>
            <w:shd w:fill="F4F6F9"/>
          </w:tcPr>
          <w:p>
            <w:r>
              <w:rPr>
                <w:rFonts w:ascii="Calibri" w:hAnsi="Calibri"/>
                <w:color w:val="212121"/>
              </w:rPr>
              <w:t>Block group geographical latitude coordinate</w:t>
            </w:r>
          </w:p>
        </w:tc>
      </w:tr>
      <w:tr>
        <w:tc>
          <w:tcPr>
            <w:tcW w:type="dxa" w:w="3120"/>
            <w:vAlign w:val="center"/>
            <w:tcMar>
              <w:top w:w="120" w:type="dxa"/>
              <w:bottom w:w="120" w:type="dxa"/>
              <w:left w:w="160" w:type="dxa"/>
              <w:right w:w="160" w:type="dxa"/>
            </w:tcMar>
          </w:tcPr>
          <w:p>
            <w:r>
              <w:rPr>
                <w:rFonts w:ascii="Calibri" w:hAnsi="Calibri"/>
                <w:color w:val="212121"/>
              </w:rPr>
              <w:t>Longitude</w:t>
            </w:r>
          </w:p>
        </w:tc>
        <w:tc>
          <w:tcPr>
            <w:tcW w:type="dxa" w:w="3120"/>
            <w:vAlign w:val="center"/>
            <w:tcMar>
              <w:top w:w="120" w:type="dxa"/>
              <w:bottom w:w="120" w:type="dxa"/>
              <w:left w:w="160" w:type="dxa"/>
              <w:right w:w="160" w:type="dxa"/>
            </w:tcMar>
          </w:tcPr>
          <w:p>
            <w:r>
              <w:rPr>
                <w:rFonts w:ascii="Calibri" w:hAnsi="Calibri"/>
                <w:color w:val="212121"/>
              </w:rPr>
              <w:t>Float (-124.4°W - -114.1°W)</w:t>
            </w:r>
          </w:p>
        </w:tc>
        <w:tc>
          <w:tcPr>
            <w:tcW w:type="dxa" w:w="3120"/>
            <w:vAlign w:val="center"/>
            <w:tcMar>
              <w:top w:w="120" w:type="dxa"/>
              <w:bottom w:w="120" w:type="dxa"/>
              <w:left w:w="160" w:type="dxa"/>
              <w:right w:w="160" w:type="dxa"/>
            </w:tcMar>
          </w:tcPr>
          <w:p>
            <w:r>
              <w:rPr>
                <w:rFonts w:ascii="Calibri" w:hAnsi="Calibri"/>
                <w:color w:val="212121"/>
              </w:rPr>
              <w:t>Block group geographical longitude coordinate</w:t>
            </w:r>
          </w:p>
        </w:tc>
      </w:tr>
      <w:tr>
        <w:tc>
          <w:tcPr>
            <w:tcW w:type="dxa" w:w="3120"/>
            <w:vAlign w:val="center"/>
            <w:tcMar>
              <w:top w:w="120" w:type="dxa"/>
              <w:bottom w:w="120" w:type="dxa"/>
              <w:left w:w="160" w:type="dxa"/>
              <w:right w:w="160" w:type="dxa"/>
            </w:tcMar>
            <w:shd w:fill="F4F6F9"/>
          </w:tcPr>
          <w:p>
            <w:r>
              <w:rPr>
                <w:rFonts w:ascii="Calibri" w:hAnsi="Calibri"/>
                <w:color w:val="212121"/>
              </w:rPr>
              <w:t>BedroomsPerRoom</w:t>
            </w:r>
          </w:p>
        </w:tc>
        <w:tc>
          <w:tcPr>
            <w:tcW w:type="dxa" w:w="3120"/>
            <w:vAlign w:val="center"/>
            <w:tcMar>
              <w:top w:w="120" w:type="dxa"/>
              <w:bottom w:w="120" w:type="dxa"/>
              <w:left w:w="160" w:type="dxa"/>
              <w:right w:w="160" w:type="dxa"/>
            </w:tcMar>
            <w:shd w:fill="F4F6F9"/>
          </w:tcPr>
          <w:p>
            <w:r>
              <w:rPr>
                <w:rFonts w:ascii="Calibri" w:hAnsi="Calibri"/>
                <w:color w:val="212121"/>
              </w:rPr>
              <w:t>Float (0.05 - 0.60)</w:t>
            </w:r>
          </w:p>
        </w:tc>
        <w:tc>
          <w:tcPr>
            <w:tcW w:type="dxa" w:w="3120"/>
            <w:vAlign w:val="center"/>
            <w:tcMar>
              <w:top w:w="120" w:type="dxa"/>
              <w:bottom w:w="120" w:type="dxa"/>
              <w:left w:w="160" w:type="dxa"/>
              <w:right w:w="160" w:type="dxa"/>
            </w:tcMar>
            <w:shd w:fill="F4F6F9"/>
          </w:tcPr>
          <w:p>
            <w:r>
              <w:rPr>
                <w:rFonts w:ascii="Calibri" w:hAnsi="Calibri"/>
                <w:color w:val="212121"/>
              </w:rPr>
              <w:t>Derived ratio: AveBedrms divided by AveRooms</w:t>
            </w:r>
          </w:p>
        </w:tc>
      </w:tr>
      <w:tr>
        <w:tc>
          <w:tcPr>
            <w:tcW w:type="dxa" w:w="3120"/>
            <w:vAlign w:val="center"/>
            <w:tcMar>
              <w:top w:w="120" w:type="dxa"/>
              <w:bottom w:w="120" w:type="dxa"/>
              <w:left w:w="160" w:type="dxa"/>
              <w:right w:w="160" w:type="dxa"/>
            </w:tcMar>
          </w:tcPr>
          <w:p>
            <w:r>
              <w:rPr>
                <w:rFonts w:ascii="Calibri" w:hAnsi="Calibri"/>
                <w:color w:val="212121"/>
              </w:rPr>
              <w:t>Price (Target)</w:t>
            </w:r>
          </w:p>
        </w:tc>
        <w:tc>
          <w:tcPr>
            <w:tcW w:type="dxa" w:w="3120"/>
            <w:vAlign w:val="center"/>
            <w:tcMar>
              <w:top w:w="120" w:type="dxa"/>
              <w:bottom w:w="120" w:type="dxa"/>
              <w:left w:w="160" w:type="dxa"/>
              <w:right w:w="160" w:type="dxa"/>
            </w:tcMar>
          </w:tcPr>
          <w:p>
            <w:r>
              <w:rPr>
                <w:rFonts w:ascii="Calibri" w:hAnsi="Calibri"/>
                <w:color w:val="212121"/>
              </w:rPr>
              <w:t>Float ($15,000 - $500,000)</w:t>
            </w:r>
          </w:p>
        </w:tc>
        <w:tc>
          <w:tcPr>
            <w:tcW w:type="dxa" w:w="3120"/>
            <w:vAlign w:val="center"/>
            <w:tcMar>
              <w:top w:w="120" w:type="dxa"/>
              <w:bottom w:w="120" w:type="dxa"/>
              <w:left w:w="160" w:type="dxa"/>
              <w:right w:w="160" w:type="dxa"/>
            </w:tcMar>
          </w:tcPr>
          <w:p>
            <w:r>
              <w:rPr>
                <w:rFonts w:ascii="Calibri" w:hAnsi="Calibri"/>
                <w:color w:val="212121"/>
              </w:rPr>
              <w:t>Median house valuation in US Dollars ($)</w:t>
            </w:r>
          </w:p>
        </w:tc>
      </w:tr>
    </w:tbl>
    <w:p>
      <w:pPr>
        <w:spacing w:before="200" w:after="80"/>
      </w:pPr>
      <w:r>
        <w:rPr>
          <w:rFonts w:ascii="Calibri" w:hAnsi="Calibri"/>
          <w:b/>
          <w:color w:val="2E7D32"/>
          <w:sz w:val="26"/>
        </w:rPr>
        <w:t>3.1 Key Exploratory Insights</w:t>
      </w:r>
    </w:p>
    <w:p>
      <w:pPr>
        <w:spacing w:after="120" w:line="276" w:lineRule="auto"/>
      </w:pPr>
      <w:r>
        <w:rPr>
          <w:rFonts w:ascii="Calibri" w:hAnsi="Calibri"/>
          <w:b/>
          <w:sz w:val="22"/>
        </w:rPr>
        <w:t xml:space="preserve">• Income-Price Elasticity: </w:t>
      </w:r>
      <w:r>
        <w:rPr>
          <w:rFonts w:ascii="Calibri" w:hAnsi="Calibri"/>
          <w:color w:val="212121"/>
          <w:sz w:val="22"/>
        </w:rPr>
        <w:t>Median household income exhibits the strongest positive linear correlation (r = 0.69) with housing price, identifying household income as the dominant valuation driver.</w:t>
      </w:r>
    </w:p>
    <w:p>
      <w:pPr>
        <w:spacing w:after="120" w:line="276" w:lineRule="auto"/>
      </w:pPr>
      <w:r>
        <w:rPr>
          <w:rFonts w:ascii="Calibri" w:hAnsi="Calibri"/>
          <w:b/>
          <w:sz w:val="22"/>
        </w:rPr>
        <w:t xml:space="preserve">• Geospatial Dynamics: </w:t>
      </w:r>
      <w:r>
        <w:rPr>
          <w:rFonts w:ascii="Calibri" w:hAnsi="Calibri"/>
          <w:color w:val="212121"/>
          <w:sz w:val="22"/>
        </w:rPr>
        <w:t>Geographic clustering reveals that properties along coastal California latitudes and longitudes (San Francisco Bay Area, Los Angeles coastal corridors, San Diego) command substantial price premiums over inland regions.</w:t>
      </w:r>
    </w:p>
    <w:p>
      <w:pPr>
        <w:spacing w:after="120" w:line="276" w:lineRule="auto"/>
      </w:pPr>
      <w:r>
        <w:rPr>
          <w:rFonts w:ascii="Calibri" w:hAnsi="Calibri"/>
          <w:b/>
          <w:sz w:val="22"/>
        </w:rPr>
        <w:t xml:space="preserve">• Structural Age: </w:t>
      </w:r>
      <w:r>
        <w:rPr>
          <w:rFonts w:ascii="Calibri" w:hAnsi="Calibri"/>
          <w:color w:val="212121"/>
          <w:sz w:val="22"/>
        </w:rPr>
        <w:t>Older homes in high-income neighborhoods often retain or appreciate in value due to scarce urban parcel availability.</w:t>
      </w:r>
    </w:p>
    <w:p>
      <w:pPr>
        <w:spacing w:before="280" w:after="120"/>
      </w:pPr>
      <w:r>
        <w:rPr>
          <w:rFonts w:ascii="Calibri" w:hAnsi="Calibri"/>
          <w:b/>
          <w:color w:val="1B559B"/>
          <w:sz w:val="32"/>
        </w:rPr>
        <w:t>4. Machine Learning Methodology &amp; Architecture</w:t>
      </w:r>
    </w:p>
    <w:p>
      <w:pPr>
        <w:spacing w:after="120" w:line="276" w:lineRule="auto"/>
      </w:pPr>
      <w:r>
        <w:rPr>
          <w:rFonts w:ascii="Calibri" w:hAnsi="Calibri"/>
          <w:color w:val="212121"/>
          <w:sz w:val="22"/>
        </w:rPr>
        <w:t>An 80/20 train-test split was executed with a fixed random seed (random_state=42) to guarantee reproducible benchmarks across 16,512 training records and 4,128 test records. All continuous features were normalized using Scikit-Learn's StandardScaler.</w:t>
      </w:r>
    </w:p>
    <w:p>
      <w:pPr>
        <w:spacing w:after="120" w:line="276" w:lineRule="auto"/>
      </w:pPr>
      <w:r>
        <w:rPr>
          <w:rFonts w:ascii="Calibri" w:hAnsi="Calibri"/>
          <w:color w:val="212121"/>
          <w:sz w:val="22"/>
        </w:rPr>
        <w:t>Four diverse regression paradigms were implemented and evaluated:</w:t>
      </w:r>
    </w:p>
    <w:p>
      <w:pPr>
        <w:spacing w:after="120" w:line="276" w:lineRule="auto"/>
      </w:pPr>
      <w:r>
        <w:rPr>
          <w:rFonts w:ascii="Calibri" w:hAnsi="Calibri"/>
          <w:b/>
          <w:sz w:val="22"/>
        </w:rPr>
        <w:t xml:space="preserve">1. Ordinary Least Squares (OLS) Linear Regression: </w:t>
      </w:r>
      <w:r>
        <w:rPr>
          <w:rFonts w:ascii="Calibri" w:hAnsi="Calibri"/>
          <w:color w:val="212121"/>
          <w:sz w:val="22"/>
        </w:rPr>
        <w:t>Serves as the parametric baseline establishing linear relationship boundaries.</w:t>
      </w:r>
    </w:p>
    <w:p>
      <w:pPr>
        <w:spacing w:after="120" w:line="276" w:lineRule="auto"/>
      </w:pPr>
      <w:r>
        <w:rPr>
          <w:rFonts w:ascii="Calibri" w:hAnsi="Calibri"/>
          <w:b/>
          <w:sz w:val="22"/>
        </w:rPr>
        <w:t xml:space="preserve">2. Ridge Regression: </w:t>
      </w:r>
      <w:r>
        <w:rPr>
          <w:rFonts w:ascii="Calibri" w:hAnsi="Calibri"/>
          <w:color w:val="212121"/>
          <w:sz w:val="22"/>
        </w:rPr>
        <w:t>Introduces L2 Tikhonov regularization (alpha=1.0) to prevent feature collinearity.</w:t>
      </w:r>
    </w:p>
    <w:p>
      <w:pPr>
        <w:spacing w:after="120" w:line="276" w:lineRule="auto"/>
      </w:pPr>
      <w:r>
        <w:rPr>
          <w:rFonts w:ascii="Calibri" w:hAnsi="Calibri"/>
          <w:b/>
          <w:sz w:val="22"/>
        </w:rPr>
        <w:t xml:space="preserve">3. Random Forest Regressor: </w:t>
      </w:r>
      <w:r>
        <w:rPr>
          <w:rFonts w:ascii="Calibri" w:hAnsi="Calibri"/>
          <w:color w:val="212121"/>
          <w:sz w:val="22"/>
        </w:rPr>
        <w:t>A non-linear ensemble bagging model trained with 100 decision trees and max_depth=16.</w:t>
      </w:r>
    </w:p>
    <w:p>
      <w:pPr>
        <w:spacing w:after="120" w:line="276" w:lineRule="auto"/>
      </w:pPr>
      <w:r>
        <w:rPr>
          <w:rFonts w:ascii="Calibri" w:hAnsi="Calibri"/>
          <w:b/>
          <w:sz w:val="22"/>
        </w:rPr>
        <w:t xml:space="preserve">4. Gradient Boosting Regressor: </w:t>
      </w:r>
      <w:r>
        <w:rPr>
          <w:rFonts w:ascii="Calibri" w:hAnsi="Calibri"/>
          <w:color w:val="212121"/>
          <w:sz w:val="22"/>
        </w:rPr>
        <w:t>A sequential boosting ensemble trained with 120 estimators, learning_rate=0.1, and max_depth=5 to iteratively correct residual errors.</w:t>
      </w:r>
    </w:p>
    <w:p>
      <w:pPr>
        <w:spacing w:before="280" w:after="120"/>
      </w:pPr>
      <w:r>
        <w:rPr>
          <w:rFonts w:ascii="Calibri" w:hAnsi="Calibri"/>
          <w:b/>
          <w:color w:val="1B559B"/>
          <w:sz w:val="32"/>
        </w:rPr>
        <w:t>5. Model Performance Benchmarks &amp; Results</w:t>
      </w:r>
    </w:p>
    <w:p>
      <w:pPr>
        <w:spacing w:after="120" w:line="276" w:lineRule="auto"/>
      </w:pPr>
      <w:r>
        <w:rPr>
          <w:rFonts w:ascii="Calibri" w:hAnsi="Calibri"/>
          <w:color w:val="212121"/>
          <w:sz w:val="22"/>
        </w:rPr>
        <w:t>All candidate algorithms were evaluated on the unseen 4,128 test observations using R² Score, Mean Absolute Error (MAE), Root Mean Squared Error (RMSE), and Mean Absolute Percentage Error (MAPE).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60" w:type="dxa"/>
              <w:right w:w="160" w:type="dxa"/>
            </w:tcMar>
            <w:shd w:fill="1B559B"/>
          </w:tcPr>
          <w:p>
            <w:r>
              <w:rPr>
                <w:rFonts w:ascii="Calibri" w:hAnsi="Calibri"/>
                <w:b/>
                <w:color w:val="FFFFFF"/>
              </w:rPr>
              <w:t>Regression Algorithm</w:t>
            </w:r>
          </w:p>
        </w:tc>
        <w:tc>
          <w:tcPr>
            <w:tcW w:type="dxa" w:w="1872"/>
            <w:vAlign w:val="center"/>
            <w:tcMar>
              <w:top w:w="120" w:type="dxa"/>
              <w:bottom w:w="120" w:type="dxa"/>
              <w:left w:w="160" w:type="dxa"/>
              <w:right w:w="160" w:type="dxa"/>
            </w:tcMar>
            <w:shd w:fill="1B559B"/>
          </w:tcPr>
          <w:p>
            <w:r>
              <w:rPr>
                <w:rFonts w:ascii="Calibri" w:hAnsi="Calibri"/>
                <w:b/>
                <w:color w:val="FFFFFF"/>
              </w:rPr>
              <w:t>R² Score</w:t>
            </w:r>
          </w:p>
        </w:tc>
        <w:tc>
          <w:tcPr>
            <w:tcW w:type="dxa" w:w="1872"/>
            <w:vAlign w:val="center"/>
            <w:tcMar>
              <w:top w:w="120" w:type="dxa"/>
              <w:bottom w:w="120" w:type="dxa"/>
              <w:left w:w="160" w:type="dxa"/>
              <w:right w:w="160" w:type="dxa"/>
            </w:tcMar>
            <w:shd w:fill="1B559B"/>
          </w:tcPr>
          <w:p>
            <w:r>
              <w:rPr>
                <w:rFonts w:ascii="Calibri" w:hAnsi="Calibri"/>
                <w:b/>
                <w:color w:val="FFFFFF"/>
              </w:rPr>
              <w:t>MAE ($)</w:t>
            </w:r>
          </w:p>
        </w:tc>
        <w:tc>
          <w:tcPr>
            <w:tcW w:type="dxa" w:w="1872"/>
            <w:vAlign w:val="center"/>
            <w:tcMar>
              <w:top w:w="120" w:type="dxa"/>
              <w:bottom w:w="120" w:type="dxa"/>
              <w:left w:w="160" w:type="dxa"/>
              <w:right w:w="160" w:type="dxa"/>
            </w:tcMar>
            <w:shd w:fill="1B559B"/>
          </w:tcPr>
          <w:p>
            <w:r>
              <w:rPr>
                <w:rFonts w:ascii="Calibri" w:hAnsi="Calibri"/>
                <w:b/>
                <w:color w:val="FFFFFF"/>
              </w:rPr>
              <w:t>RMSE ($)</w:t>
            </w:r>
          </w:p>
        </w:tc>
        <w:tc>
          <w:tcPr>
            <w:tcW w:type="dxa" w:w="1872"/>
            <w:vAlign w:val="center"/>
            <w:tcMar>
              <w:top w:w="120" w:type="dxa"/>
              <w:bottom w:w="120" w:type="dxa"/>
              <w:left w:w="160" w:type="dxa"/>
              <w:right w:w="160" w:type="dxa"/>
            </w:tcMar>
            <w:shd w:fill="1B559B"/>
          </w:tcPr>
          <w:p>
            <w:r>
              <w:rPr>
                <w:rFonts w:ascii="Calibri" w:hAnsi="Calibri"/>
                <w:b/>
                <w:color w:val="FFFFFF"/>
              </w:rPr>
              <w:t>MAPE (%)</w:t>
            </w:r>
          </w:p>
        </w:tc>
      </w:tr>
      <w:tr>
        <w:tc>
          <w:tcPr>
            <w:tcW w:type="dxa" w:w="1872"/>
            <w:vAlign w:val="center"/>
            <w:tcMar>
              <w:top w:w="120" w:type="dxa"/>
              <w:bottom w:w="120" w:type="dxa"/>
              <w:left w:w="160" w:type="dxa"/>
              <w:right w:w="160" w:type="dxa"/>
            </w:tcMar>
            <w:shd w:fill="F4F6F9"/>
          </w:tcPr>
          <w:p>
            <w:r>
              <w:rPr>
                <w:rFonts w:ascii="Calibri" w:hAnsi="Calibri"/>
                <w:color w:val="212121"/>
              </w:rPr>
              <w:t>Gradient Boosting Regressor</w:t>
            </w:r>
          </w:p>
        </w:tc>
        <w:tc>
          <w:tcPr>
            <w:tcW w:type="dxa" w:w="1872"/>
            <w:vAlign w:val="center"/>
            <w:tcMar>
              <w:top w:w="120" w:type="dxa"/>
              <w:bottom w:w="120" w:type="dxa"/>
              <w:left w:w="160" w:type="dxa"/>
              <w:right w:w="160" w:type="dxa"/>
            </w:tcMar>
            <w:shd w:fill="F4F6F9"/>
          </w:tcPr>
          <w:p>
            <w:r>
              <w:rPr>
                <w:rFonts w:ascii="Calibri" w:hAnsi="Calibri"/>
                <w:color w:val="212121"/>
              </w:rPr>
              <w:t>0.8193</w:t>
            </w:r>
          </w:p>
        </w:tc>
        <w:tc>
          <w:tcPr>
            <w:tcW w:type="dxa" w:w="1872"/>
            <w:vAlign w:val="center"/>
            <w:tcMar>
              <w:top w:w="120" w:type="dxa"/>
              <w:bottom w:w="120" w:type="dxa"/>
              <w:left w:w="160" w:type="dxa"/>
              <w:right w:w="160" w:type="dxa"/>
            </w:tcMar>
            <w:shd w:fill="F4F6F9"/>
          </w:tcPr>
          <w:p>
            <w:r>
              <w:rPr>
                <w:rFonts w:ascii="Calibri" w:hAnsi="Calibri"/>
                <w:color w:val="212121"/>
              </w:rPr>
              <w:t>$32,586.08</w:t>
            </w:r>
          </w:p>
        </w:tc>
        <w:tc>
          <w:tcPr>
            <w:tcW w:type="dxa" w:w="1872"/>
            <w:vAlign w:val="center"/>
            <w:tcMar>
              <w:top w:w="120" w:type="dxa"/>
              <w:bottom w:w="120" w:type="dxa"/>
              <w:left w:w="160" w:type="dxa"/>
              <w:right w:w="160" w:type="dxa"/>
            </w:tcMar>
            <w:shd w:fill="F4F6F9"/>
          </w:tcPr>
          <w:p>
            <w:r>
              <w:rPr>
                <w:rFonts w:ascii="Calibri" w:hAnsi="Calibri"/>
                <w:color w:val="212121"/>
              </w:rPr>
              <w:t>$48,662.08</w:t>
            </w:r>
          </w:p>
        </w:tc>
        <w:tc>
          <w:tcPr>
            <w:tcW w:type="dxa" w:w="1872"/>
            <w:vAlign w:val="center"/>
            <w:tcMar>
              <w:top w:w="120" w:type="dxa"/>
              <w:bottom w:w="120" w:type="dxa"/>
              <w:left w:w="160" w:type="dxa"/>
              <w:right w:w="160" w:type="dxa"/>
            </w:tcMar>
            <w:shd w:fill="F4F6F9"/>
          </w:tcPr>
          <w:p>
            <w:r>
              <w:rPr>
                <w:rFonts w:ascii="Calibri" w:hAnsi="Calibri"/>
                <w:color w:val="212121"/>
              </w:rPr>
              <w:t>18.98%</w:t>
            </w:r>
          </w:p>
        </w:tc>
      </w:tr>
      <w:tr>
        <w:tc>
          <w:tcPr>
            <w:tcW w:type="dxa" w:w="1872"/>
            <w:vAlign w:val="center"/>
            <w:tcMar>
              <w:top w:w="120" w:type="dxa"/>
              <w:bottom w:w="120" w:type="dxa"/>
              <w:left w:w="160" w:type="dxa"/>
              <w:right w:w="160" w:type="dxa"/>
            </w:tcMar>
          </w:tcPr>
          <w:p>
            <w:r>
              <w:rPr>
                <w:rFonts w:ascii="Calibri" w:hAnsi="Calibri"/>
                <w:color w:val="212121"/>
              </w:rPr>
              <w:t>Random Forest Regressor</w:t>
            </w:r>
          </w:p>
        </w:tc>
        <w:tc>
          <w:tcPr>
            <w:tcW w:type="dxa" w:w="1872"/>
            <w:vAlign w:val="center"/>
            <w:tcMar>
              <w:top w:w="120" w:type="dxa"/>
              <w:bottom w:w="120" w:type="dxa"/>
              <w:left w:w="160" w:type="dxa"/>
              <w:right w:w="160" w:type="dxa"/>
            </w:tcMar>
          </w:tcPr>
          <w:p>
            <w:r>
              <w:rPr>
                <w:rFonts w:ascii="Calibri" w:hAnsi="Calibri"/>
                <w:color w:val="212121"/>
              </w:rPr>
              <w:t>0.8027</w:t>
            </w:r>
          </w:p>
        </w:tc>
        <w:tc>
          <w:tcPr>
            <w:tcW w:type="dxa" w:w="1872"/>
            <w:vAlign w:val="center"/>
            <w:tcMar>
              <w:top w:w="120" w:type="dxa"/>
              <w:bottom w:w="120" w:type="dxa"/>
              <w:left w:w="160" w:type="dxa"/>
              <w:right w:w="160" w:type="dxa"/>
            </w:tcMar>
          </w:tcPr>
          <w:p>
            <w:r>
              <w:rPr>
                <w:rFonts w:ascii="Calibri" w:hAnsi="Calibri"/>
                <w:color w:val="212121"/>
              </w:rPr>
              <w:t>$33,122.47</w:t>
            </w:r>
          </w:p>
        </w:tc>
        <w:tc>
          <w:tcPr>
            <w:tcW w:type="dxa" w:w="1872"/>
            <w:vAlign w:val="center"/>
            <w:tcMar>
              <w:top w:w="120" w:type="dxa"/>
              <w:bottom w:w="120" w:type="dxa"/>
              <w:left w:w="160" w:type="dxa"/>
              <w:right w:w="160" w:type="dxa"/>
            </w:tcMar>
          </w:tcPr>
          <w:p>
            <w:r>
              <w:rPr>
                <w:rFonts w:ascii="Calibri" w:hAnsi="Calibri"/>
                <w:color w:val="212121"/>
              </w:rPr>
              <w:t>$50,853.16</w:t>
            </w:r>
          </w:p>
        </w:tc>
        <w:tc>
          <w:tcPr>
            <w:tcW w:type="dxa" w:w="1872"/>
            <w:vAlign w:val="center"/>
            <w:tcMar>
              <w:top w:w="120" w:type="dxa"/>
              <w:bottom w:w="120" w:type="dxa"/>
              <w:left w:w="160" w:type="dxa"/>
              <w:right w:w="160" w:type="dxa"/>
            </w:tcMar>
          </w:tcPr>
          <w:p>
            <w:r>
              <w:rPr>
                <w:rFonts w:ascii="Calibri" w:hAnsi="Calibri"/>
                <w:color w:val="212121"/>
              </w:rPr>
              <w:t>19.14%</w:t>
            </w:r>
          </w:p>
        </w:tc>
      </w:tr>
      <w:tr>
        <w:tc>
          <w:tcPr>
            <w:tcW w:type="dxa" w:w="1872"/>
            <w:vAlign w:val="center"/>
            <w:tcMar>
              <w:top w:w="120" w:type="dxa"/>
              <w:bottom w:w="120" w:type="dxa"/>
              <w:left w:w="160" w:type="dxa"/>
              <w:right w:w="160" w:type="dxa"/>
            </w:tcMar>
            <w:shd w:fill="F4F6F9"/>
          </w:tcPr>
          <w:p>
            <w:r>
              <w:rPr>
                <w:rFonts w:ascii="Calibri" w:hAnsi="Calibri"/>
                <w:color w:val="212121"/>
              </w:rPr>
              <w:t>Linear Regression</w:t>
            </w:r>
          </w:p>
        </w:tc>
        <w:tc>
          <w:tcPr>
            <w:tcW w:type="dxa" w:w="1872"/>
            <w:vAlign w:val="center"/>
            <w:tcMar>
              <w:top w:w="120" w:type="dxa"/>
              <w:bottom w:w="120" w:type="dxa"/>
              <w:left w:w="160" w:type="dxa"/>
              <w:right w:w="160" w:type="dxa"/>
            </w:tcMar>
            <w:shd w:fill="F4F6F9"/>
          </w:tcPr>
          <w:p>
            <w:r>
              <w:rPr>
                <w:rFonts w:ascii="Calibri" w:hAnsi="Calibri"/>
                <w:color w:val="212121"/>
              </w:rPr>
              <w:t>0.5942</w:t>
            </w:r>
          </w:p>
        </w:tc>
        <w:tc>
          <w:tcPr>
            <w:tcW w:type="dxa" w:w="1872"/>
            <w:vAlign w:val="center"/>
            <w:tcMar>
              <w:top w:w="120" w:type="dxa"/>
              <w:bottom w:w="120" w:type="dxa"/>
              <w:left w:w="160" w:type="dxa"/>
              <w:right w:w="160" w:type="dxa"/>
            </w:tcMar>
            <w:shd w:fill="F4F6F9"/>
          </w:tcPr>
          <w:p>
            <w:r>
              <w:rPr>
                <w:rFonts w:ascii="Calibri" w:hAnsi="Calibri"/>
                <w:color w:val="212121"/>
              </w:rPr>
              <w:t>$52,606.21</w:t>
            </w:r>
          </w:p>
        </w:tc>
        <w:tc>
          <w:tcPr>
            <w:tcW w:type="dxa" w:w="1872"/>
            <w:vAlign w:val="center"/>
            <w:tcMar>
              <w:top w:w="120" w:type="dxa"/>
              <w:bottom w:w="120" w:type="dxa"/>
              <w:left w:w="160" w:type="dxa"/>
              <w:right w:w="160" w:type="dxa"/>
            </w:tcMar>
            <w:shd w:fill="F4F6F9"/>
          </w:tcPr>
          <w:p>
            <w:r>
              <w:rPr>
                <w:rFonts w:ascii="Calibri" w:hAnsi="Calibri"/>
                <w:color w:val="212121"/>
              </w:rPr>
              <w:t>$72,920.65</w:t>
            </w:r>
          </w:p>
        </w:tc>
        <w:tc>
          <w:tcPr>
            <w:tcW w:type="dxa" w:w="1872"/>
            <w:vAlign w:val="center"/>
            <w:tcMar>
              <w:top w:w="120" w:type="dxa"/>
              <w:bottom w:w="120" w:type="dxa"/>
              <w:left w:w="160" w:type="dxa"/>
              <w:right w:w="160" w:type="dxa"/>
            </w:tcMar>
            <w:shd w:fill="F4F6F9"/>
          </w:tcPr>
          <w:p>
            <w:r>
              <w:rPr>
                <w:rFonts w:ascii="Calibri" w:hAnsi="Calibri"/>
                <w:color w:val="212121"/>
              </w:rPr>
              <w:t>31.64%</w:t>
            </w:r>
          </w:p>
        </w:tc>
      </w:tr>
      <w:tr>
        <w:tc>
          <w:tcPr>
            <w:tcW w:type="dxa" w:w="1872"/>
            <w:vAlign w:val="center"/>
            <w:tcMar>
              <w:top w:w="120" w:type="dxa"/>
              <w:bottom w:w="120" w:type="dxa"/>
              <w:left w:w="160" w:type="dxa"/>
              <w:right w:w="160" w:type="dxa"/>
            </w:tcMar>
          </w:tcPr>
          <w:p>
            <w:r>
              <w:rPr>
                <w:rFonts w:ascii="Calibri" w:hAnsi="Calibri"/>
                <w:color w:val="212121"/>
              </w:rPr>
              <w:t>Ridge Regression</w:t>
            </w:r>
          </w:p>
        </w:tc>
        <w:tc>
          <w:tcPr>
            <w:tcW w:type="dxa" w:w="1872"/>
            <w:vAlign w:val="center"/>
            <w:tcMar>
              <w:top w:w="120" w:type="dxa"/>
              <w:bottom w:w="120" w:type="dxa"/>
              <w:left w:w="160" w:type="dxa"/>
              <w:right w:w="160" w:type="dxa"/>
            </w:tcMar>
          </w:tcPr>
          <w:p>
            <w:r>
              <w:rPr>
                <w:rFonts w:ascii="Calibri" w:hAnsi="Calibri"/>
                <w:color w:val="212121"/>
              </w:rPr>
              <w:t>0.5942</w:t>
            </w:r>
          </w:p>
        </w:tc>
        <w:tc>
          <w:tcPr>
            <w:tcW w:type="dxa" w:w="1872"/>
            <w:vAlign w:val="center"/>
            <w:tcMar>
              <w:top w:w="120" w:type="dxa"/>
              <w:bottom w:w="120" w:type="dxa"/>
              <w:left w:w="160" w:type="dxa"/>
              <w:right w:w="160" w:type="dxa"/>
            </w:tcMar>
          </w:tcPr>
          <w:p>
            <w:r>
              <w:rPr>
                <w:rFonts w:ascii="Calibri" w:hAnsi="Calibri"/>
                <w:color w:val="212121"/>
              </w:rPr>
              <w:t>$52,605.18</w:t>
            </w:r>
          </w:p>
        </w:tc>
        <w:tc>
          <w:tcPr>
            <w:tcW w:type="dxa" w:w="1872"/>
            <w:vAlign w:val="center"/>
            <w:tcMar>
              <w:top w:w="120" w:type="dxa"/>
              <w:bottom w:w="120" w:type="dxa"/>
              <w:left w:w="160" w:type="dxa"/>
              <w:right w:w="160" w:type="dxa"/>
            </w:tcMar>
          </w:tcPr>
          <w:p>
            <w:r>
              <w:rPr>
                <w:rFonts w:ascii="Calibri" w:hAnsi="Calibri"/>
                <w:color w:val="212121"/>
              </w:rPr>
              <w:t>$72,920.27</w:t>
            </w:r>
          </w:p>
        </w:tc>
        <w:tc>
          <w:tcPr>
            <w:tcW w:type="dxa" w:w="1872"/>
            <w:vAlign w:val="center"/>
            <w:tcMar>
              <w:top w:w="120" w:type="dxa"/>
              <w:bottom w:w="120" w:type="dxa"/>
              <w:left w:w="160" w:type="dxa"/>
              <w:right w:w="160" w:type="dxa"/>
            </w:tcMar>
          </w:tcPr>
          <w:p>
            <w:r>
              <w:rPr>
                <w:rFonts w:ascii="Calibri" w:hAnsi="Calibri"/>
                <w:color w:val="212121"/>
              </w:rPr>
              <w:t>31.64%</w:t>
            </w:r>
          </w:p>
        </w:tc>
      </w:tr>
    </w:tbl>
    <w:p>
      <w:pPr>
        <w:spacing w:before="200" w:after="80"/>
      </w:pPr>
      <w:r>
        <w:rPr>
          <w:rFonts w:ascii="Calibri" w:hAnsi="Calibri"/>
          <w:b/>
          <w:color w:val="2E7D32"/>
          <w:sz w:val="26"/>
        </w:rPr>
        <w:t>5.1 Feature Importance Breakdown</w:t>
      </w:r>
    </w:p>
    <w:p>
      <w:pPr>
        <w:spacing w:after="120" w:line="276" w:lineRule="auto"/>
      </w:pPr>
      <w:r>
        <w:rPr>
          <w:rFonts w:ascii="Calibri" w:hAnsi="Calibri"/>
          <w:color w:val="212121"/>
          <w:sz w:val="22"/>
        </w:rPr>
        <w:t>Feature weights extracted from the winning Gradient Boosting model demonstrate the following relative pricing influence:</w:t>
      </w:r>
    </w:p>
    <w:p>
      <w:pPr>
        <w:spacing w:after="120" w:line="276" w:lineRule="auto"/>
      </w:pPr>
      <w:r>
        <w:rPr>
          <w:rFonts w:ascii="Calibri" w:hAnsi="Calibri"/>
          <w:b/>
          <w:sz w:val="22"/>
        </w:rPr>
        <w:t xml:space="preserve">• Median Household Income (MedInc): </w:t>
      </w:r>
      <w:r>
        <w:rPr>
          <w:rFonts w:ascii="Calibri" w:hAnsi="Calibri"/>
          <w:color w:val="212121"/>
          <w:sz w:val="22"/>
        </w:rPr>
        <w:t>57.0% contribution to valuation variance.</w:t>
      </w:r>
    </w:p>
    <w:p>
      <w:pPr>
        <w:spacing w:after="120" w:line="276" w:lineRule="auto"/>
      </w:pPr>
      <w:r>
        <w:rPr>
          <w:rFonts w:ascii="Calibri" w:hAnsi="Calibri"/>
          <w:b/>
          <w:sz w:val="22"/>
        </w:rPr>
        <w:t xml:space="preserve">• Average Occupancy (AveOccup): </w:t>
      </w:r>
      <w:r>
        <w:rPr>
          <w:rFonts w:ascii="Calibri" w:hAnsi="Calibri"/>
          <w:color w:val="212121"/>
          <w:sz w:val="22"/>
        </w:rPr>
        <w:t>13.0% influence, reflecting neighborhood density effects.</w:t>
      </w:r>
    </w:p>
    <w:p>
      <w:pPr>
        <w:spacing w:after="120" w:line="276" w:lineRule="auto"/>
      </w:pPr>
      <w:r>
        <w:rPr>
          <w:rFonts w:ascii="Calibri" w:hAnsi="Calibri"/>
          <w:b/>
          <w:sz w:val="22"/>
        </w:rPr>
        <w:t xml:space="preserve">• Longitude &amp; Latitude Coordinates: </w:t>
      </w:r>
      <w:r>
        <w:rPr>
          <w:rFonts w:ascii="Calibri" w:hAnsi="Calibri"/>
          <w:color w:val="212121"/>
          <w:sz w:val="22"/>
        </w:rPr>
        <w:t>20.5% combined importance, validating location as a cornerstone real estate factor.</w:t>
      </w:r>
    </w:p>
    <w:p>
      <w:pPr>
        <w:spacing w:after="120" w:line="276" w:lineRule="auto"/>
      </w:pPr>
      <w:r>
        <w:rPr>
          <w:rFonts w:ascii="Calibri" w:hAnsi="Calibri"/>
          <w:b/>
          <w:sz w:val="22"/>
        </w:rPr>
        <w:t xml:space="preserve">• House Age &amp; Room Specifications: </w:t>
      </w:r>
      <w:r>
        <w:rPr>
          <w:rFonts w:ascii="Calibri" w:hAnsi="Calibri"/>
          <w:color w:val="212121"/>
          <w:sz w:val="22"/>
        </w:rPr>
        <w:t>9.5% combined influence representing physical dwelling characteristics.</w:t>
      </w:r>
    </w:p>
    <w:p>
      <w:pPr>
        <w:spacing w:before="280" w:after="120"/>
      </w:pPr>
      <w:r>
        <w:rPr>
          <w:rFonts w:ascii="Calibri" w:hAnsi="Calibri"/>
          <w:b/>
          <w:color w:val="1B559B"/>
          <w:sz w:val="32"/>
        </w:rPr>
        <w:t>6. Streamlit Frontend Web Application</w:t>
      </w:r>
    </w:p>
    <w:p>
      <w:pPr>
        <w:spacing w:after="120" w:line="276" w:lineRule="auto"/>
      </w:pPr>
      <w:r>
        <w:rPr>
          <w:rFonts w:ascii="Calibri" w:hAnsi="Calibri"/>
          <w:color w:val="212121"/>
          <w:sz w:val="22"/>
        </w:rPr>
        <w:t>To satisfy the requirement of using Python libraries for the frontend, Streamlit was selected. The frontend is structured into five cohesive modules:</w:t>
      </w:r>
    </w:p>
    <w:p>
      <w:pPr>
        <w:spacing w:after="120" w:line="276" w:lineRule="auto"/>
      </w:pPr>
      <w:r>
        <w:rPr>
          <w:rFonts w:ascii="Calibri" w:hAnsi="Calibri"/>
          <w:b/>
          <w:sz w:val="22"/>
        </w:rPr>
        <w:t xml:space="preserve">1. Tab 1 - Price Predictor: </w:t>
      </w:r>
      <w:r>
        <w:rPr>
          <w:rFonts w:ascii="Calibri" w:hAnsi="Calibri"/>
          <w:color w:val="212121"/>
          <w:sz w:val="22"/>
        </w:rPr>
        <w:t>Provides real-time interactive valuation sliders, location presets (Silicon Valley, Santa Monica, La Jolla, Sacramento, Fresno), instant predicted price badge, confidence margin (±MAE), and driver explanations.</w:t>
      </w:r>
    </w:p>
    <w:p>
      <w:pPr>
        <w:spacing w:after="120" w:line="276" w:lineRule="auto"/>
      </w:pPr>
      <w:r>
        <w:rPr>
          <w:rFonts w:ascii="Calibri" w:hAnsi="Calibri"/>
          <w:b/>
          <w:sz w:val="22"/>
        </w:rPr>
        <w:t xml:space="preserve">2. Tab 2 - Exploratory Data Analysis: </w:t>
      </w:r>
      <w:r>
        <w:rPr>
          <w:rFonts w:ascii="Calibri" w:hAnsi="Calibri"/>
          <w:color w:val="212121"/>
          <w:sz w:val="22"/>
        </w:rPr>
        <w:t>Visualizes price histograms with kernel density estimation, income-vs-price regression plots, age distributions, and correlation heatmaps.</w:t>
      </w:r>
    </w:p>
    <w:p>
      <w:pPr>
        <w:spacing w:after="120" w:line="276" w:lineRule="auto"/>
      </w:pPr>
      <w:r>
        <w:rPr>
          <w:rFonts w:ascii="Calibri" w:hAnsi="Calibri"/>
          <w:b/>
          <w:sz w:val="22"/>
        </w:rPr>
        <w:t xml:space="preserve">3. Tab 3 - Geospatial Map: </w:t>
      </w:r>
      <w:r>
        <w:rPr>
          <w:rFonts w:ascii="Calibri" w:hAnsi="Calibri"/>
          <w:color w:val="212121"/>
          <w:sz w:val="22"/>
        </w:rPr>
        <w:t>Renders an interactive map of California housing with real-time price bracket filtering.</w:t>
      </w:r>
    </w:p>
    <w:p>
      <w:pPr>
        <w:spacing w:after="120" w:line="276" w:lineRule="auto"/>
      </w:pPr>
      <w:r>
        <w:rPr>
          <w:rFonts w:ascii="Calibri" w:hAnsi="Calibri"/>
          <w:b/>
          <w:sz w:val="22"/>
        </w:rPr>
        <w:t xml:space="preserve">4. Tab 4 - Model Benchmarking: </w:t>
      </w:r>
      <w:r>
        <w:rPr>
          <w:rFonts w:ascii="Calibri" w:hAnsi="Calibri"/>
          <w:color w:val="212121"/>
          <w:sz w:val="22"/>
        </w:rPr>
        <w:t>Presents comparative performance metrics and feature importance charts across all candidate models.</w:t>
      </w:r>
    </w:p>
    <w:p>
      <w:pPr>
        <w:spacing w:after="120" w:line="276" w:lineRule="auto"/>
      </w:pPr>
      <w:r>
        <w:rPr>
          <w:rFonts w:ascii="Calibri" w:hAnsi="Calibri"/>
          <w:b/>
          <w:sz w:val="22"/>
        </w:rPr>
        <w:t xml:space="preserve">5. Tab 5 - Batch CSV Prediction: </w:t>
      </w:r>
      <w:r>
        <w:rPr>
          <w:rFonts w:ascii="Calibri" w:hAnsi="Calibri"/>
          <w:color w:val="212121"/>
          <w:sz w:val="22"/>
        </w:rPr>
        <w:t>Allows users to upload custom CSV property spreadsheets, compute valuations in bulk, and download results as CSV.</w:t>
      </w:r>
    </w:p>
    <w:p>
      <w:pPr>
        <w:spacing w:before="280" w:after="120"/>
      </w:pPr>
      <w:r>
        <w:rPr>
          <w:rFonts w:ascii="Calibri" w:hAnsi="Calibri"/>
          <w:b/>
          <w:color w:val="1B559B"/>
          <w:sz w:val="32"/>
        </w:rPr>
        <w:t>7. Conclusion &amp; Future Enhancements</w:t>
      </w:r>
    </w:p>
    <w:p>
      <w:pPr>
        <w:spacing w:after="120" w:line="276" w:lineRule="auto"/>
      </w:pPr>
      <w:r>
        <w:rPr>
          <w:rFonts w:ascii="Calibri" w:hAnsi="Calibri"/>
          <w:color w:val="212121"/>
          <w:sz w:val="22"/>
        </w:rPr>
        <w:t>This capstone project successfully demonstrates the application of data analytics, machine learning, and interactive Python frontend engineering to real estate appraisal. By benchmarking multiple regression models and integrating the optimal ensemble into a Streamlit interface, the system achieves an R² score of 0.8193 while maintaining explainability and responsive usability.</w:t>
      </w:r>
    </w:p>
    <w:p>
      <w:pPr>
        <w:spacing w:after="120" w:line="276" w:lineRule="auto"/>
      </w:pPr>
      <w:r>
        <w:rPr>
          <w:rFonts w:ascii="Calibri" w:hAnsi="Calibri"/>
          <w:color w:val="212121"/>
          <w:sz w:val="22"/>
        </w:rPr>
        <w:t>Future enhancements could incorporate deep learning architectures (e.g. TabNet), real-time external macroeconomic indicators (mortgage interest rates, inflation indices), and satellite imagery feature extraction via computer vision.</w:t>
      </w:r>
    </w:p>
    <w:p>
      <w:pPr>
        <w:spacing w:before="280" w:after="120"/>
      </w:pPr>
      <w:r>
        <w:rPr>
          <w:rFonts w:ascii="Calibri" w:hAnsi="Calibri"/>
          <w:b/>
          <w:color w:val="1B559B"/>
          <w:sz w:val="32"/>
        </w:rPr>
        <w:t>8. Technical Stack &amp; Dependencies</w:t>
      </w:r>
    </w:p>
    <w:p>
      <w:pPr>
        <w:spacing w:after="120" w:line="276" w:lineRule="auto"/>
      </w:pPr>
      <w:r>
        <w:rPr>
          <w:rFonts w:ascii="Calibri" w:hAnsi="Calibri"/>
          <w:b/>
          <w:sz w:val="22"/>
        </w:rPr>
        <w:t xml:space="preserve">• Core Technologies: </w:t>
      </w:r>
      <w:r>
        <w:rPr>
          <w:rFonts w:ascii="Calibri" w:hAnsi="Calibri"/>
          <w:color w:val="212121"/>
          <w:sz w:val="22"/>
        </w:rPr>
        <w:t>Python 3.10+, Scikit-Learn 1.4+, Pandas, NumPy, Matplotlib, Seaborn, Streamlit, Joblib, Python-docx.</w:t>
      </w:r>
    </w:p>
    <w:p>
      <w:pPr>
        <w:spacing w:after="120" w:line="276" w:lineRule="auto"/>
      </w:pPr>
      <w:r>
        <w:rPr>
          <w:rFonts w:ascii="Calibri" w:hAnsi="Calibri"/>
          <w:b/>
          <w:sz w:val="22"/>
        </w:rPr>
        <w:t xml:space="preserve">• Data Source: </w:t>
      </w:r>
      <w:r>
        <w:rPr>
          <w:rFonts w:ascii="Calibri" w:hAnsi="Calibri"/>
          <w:color w:val="212121"/>
          <w:sz w:val="22"/>
        </w:rPr>
        <w:t>California Housing Dataset, U.S. Census Bureau via Scikit-Learn Datasets API.</w:t>
      </w:r>
    </w:p>
    <w:p>
      <w:pPr>
        <w:spacing w:after="120" w:line="276" w:lineRule="auto"/>
      </w:pPr>
      <w:r>
        <w:rPr>
          <w:rFonts w:ascii="Calibri" w:hAnsi="Calibri"/>
          <w:b/>
          <w:sz w:val="22"/>
        </w:rPr>
        <w:t xml:space="preserve">• Repository: </w:t>
      </w:r>
      <w:r>
        <w:rPr>
          <w:rFonts w:ascii="Calibri" w:hAnsi="Calibri"/>
          <w:color w:val="212121"/>
          <w:sz w:val="22"/>
        </w:rPr>
        <w:t>https://github.com/Janhavi-Raut1505/Infotact-Solutions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