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0"/>
        <w:gridCol w:w="4080"/>
      </w:tblGrid>
      <w:tr>
        <w:tc>
          <w:tcPr>
            <w:tcW w:type="dxa" w:w="6000"/>
            <w:tcBorders>
              <w:top w:val="none" w:color="FFFFFF" w:sz="0"/>
              <w:left w:val="none" w:color="FFFFFF" w:sz="0"/>
              <w:bottom w:val="none" w:color="FFFFFF" w:sz="0"/>
              <w:right w:val="none" w:color="FFFFFF" w:sz="0"/>
            </w:tcBorders>
            <w:tcMar>
              <w:top w:type="dxa" w:w="0"/>
              <w:left w:type="dxa" w:w="0"/>
              <w:bottom w:type="dxa" w:w="0"/>
              <w:right w:type="dxa" w:w="200"/>
            </w:tcMar>
          </w:tcPr>
          <w:p>
            <w:pPr>
              <w:spacing w:before="0" w:after="80"/>
              <w:jc w:val="left"/>
            </w:pPr>
            <w:r>
              <w:rPr>
                <w:rFonts w:ascii="Arial" w:cs="Arial" w:eastAsia="Arial" w:hAnsi="Arial"/>
                <w:b/>
                <w:bCs/>
                <w:color w:val="1A5276"/>
                <w:sz w:val="52"/>
                <w:szCs w:val="52"/>
              </w:rPr>
              <w:t xml:space="preserve">NexusCare</w:t>
            </w:r>
          </w:p>
          <w:p>
            <w:pPr>
              <w:spacing w:before="0" w:after="60"/>
              <w:jc w:val="left"/>
            </w:pPr>
            <w:r>
              <w:rPr>
                <w:rFonts w:ascii="Arial" w:cs="Arial" w:eastAsia="Arial" w:hAnsi="Arial"/>
                <w:b/>
                <w:bCs/>
                <w:color w:val="2E86C1"/>
                <w:sz w:val="22"/>
                <w:szCs w:val="22"/>
              </w:rPr>
              <w:t xml:space="preserve">HEALTH SYSTEMS</w:t>
            </w:r>
          </w:p>
          <w:p>
            <w:pPr>
              <w:spacing w:before="0" w:after="20"/>
              <w:jc w:val="left"/>
            </w:pPr>
            <w:r>
              <w:rPr>
                <w:rFonts w:ascii="Arial" w:cs="Arial" w:eastAsia="Arial" w:hAnsi="Arial"/>
                <w:b w:val="false"/>
                <w:bCs w:val="false"/>
                <w:color w:val="555555"/>
                <w:sz w:val="18"/>
                <w:szCs w:val="18"/>
              </w:rPr>
              <w:t xml:space="preserve">Riverside Medical Pavilion, 4820 Lakewood Blvd, Suite 300</w:t>
            </w:r>
          </w:p>
          <w:p>
            <w:pPr>
              <w:spacing w:before="0" w:after="20"/>
              <w:jc w:val="left"/>
            </w:pPr>
            <w:r>
              <w:rPr>
                <w:rFonts w:ascii="Arial" w:cs="Arial" w:eastAsia="Arial" w:hAnsi="Arial"/>
                <w:b w:val="false"/>
                <w:bCs w:val="false"/>
                <w:color w:val="555555"/>
                <w:sz w:val="18"/>
                <w:szCs w:val="18"/>
              </w:rPr>
              <w:t xml:space="preserve">Houston, TX 77056  |  Tel: (713) 480-9200</w:t>
            </w:r>
          </w:p>
          <w:p>
            <w:pPr>
              <w:spacing w:before="0" w:after="80"/>
              <w:jc w:val="left"/>
            </w:pPr>
            <w:r>
              <w:rPr>
                <w:rFonts w:ascii="Arial" w:cs="Arial" w:eastAsia="Arial" w:hAnsi="Arial"/>
                <w:b w:val="false"/>
                <w:bCs w:val="false"/>
                <w:color w:val="555555"/>
                <w:sz w:val="18"/>
                <w:szCs w:val="18"/>
              </w:rPr>
              <w:t xml:space="preserve">records@nexuscarehealthsystems.com  |  www.nexuscarehealthsystems.com</w:t>
            </w:r>
          </w:p>
        </w:tc>
        <w:tc>
          <w:tcPr>
            <w:tcW w:type="dxa" w:w="4080"/>
            <w:tcBorders>
              <w:top w:val="none" w:color="FFFFFF" w:sz="0"/>
              <w:left w:val="none" w:color="FFFFFF" w:sz="0"/>
              <w:bottom w:val="none" w:color="FFFFFF" w:sz="0"/>
              <w:right w:val="none" w:color="FFFFFF" w:sz="0"/>
            </w:tcBorders>
            <w:tcMar>
              <w:top w:type="dxa" w:w="0"/>
              <w:left w:type="dxa" w:w="200"/>
              <w:bottom w:type="dxa" w:w="0"/>
              <w:right w:type="dxa" w:w="0"/>
            </w:tcMar>
            <w:vAlign w:val="top"/>
          </w:tcPr>
          <w:p>
            <w:pPr>
              <w:spacing w:before="0" w:after="80"/>
              <w:jc w:val="right"/>
            </w:pPr>
            <w:r>
              <w:rPr>
                <w:rFonts w:ascii="Arial" w:cs="Arial" w:eastAsia="Arial" w:hAnsi="Arial"/>
                <w:b/>
                <w:bCs/>
                <w:color w:val="1A5276"/>
                <w:sz w:val="26"/>
                <w:szCs w:val="26"/>
              </w:rPr>
              <w:t xml:space="preserve">DISCHARGE SUMMARY</w:t>
            </w:r>
          </w:p>
          <w:p>
            <w:pPr>
              <w:spacing w:before="80" w:after="0"/>
              <w:jc w:val="right"/>
            </w:pPr>
            <w:r>
              <w:rPr>
                <w:rFonts w:ascii="Arial" w:cs="Arial" w:eastAsia="Arial" w:hAnsi="Arial"/>
                <w:b w:val="false"/>
                <w:bCs w:val="false"/>
                <w:color w:val="333333"/>
                <w:sz w:val="18"/>
                <w:szCs w:val="18"/>
              </w:rPr>
              <w:t xml:space="preserve">Document No:  NXC-DS-2025-031147</w:t>
            </w:r>
          </w:p>
          <w:p>
            <w:pPr>
              <w:spacing w:before="40" w:after="0"/>
              <w:jc w:val="right"/>
            </w:pPr>
            <w:r>
              <w:rPr>
                <w:rFonts w:ascii="Arial" w:cs="Arial" w:eastAsia="Arial" w:hAnsi="Arial"/>
                <w:b w:val="false"/>
                <w:bCs w:val="false"/>
                <w:color w:val="333333"/>
                <w:sz w:val="18"/>
                <w:szCs w:val="18"/>
              </w:rPr>
              <w:t xml:space="preserve">Date Issued:  October 9, 2025</w:t>
            </w:r>
          </w:p>
          <w:p>
            <w:pPr>
              <w:spacing w:before="40" w:after="0"/>
              <w:jc w:val="right"/>
            </w:pPr>
            <w:r>
              <w:rPr>
                <w:rFonts w:ascii="Arial" w:cs="Arial" w:eastAsia="Arial" w:hAnsi="Arial"/>
                <w:b w:val="false"/>
                <w:bCs w:val="false"/>
                <w:color w:val="333333"/>
                <w:sz w:val="18"/>
                <w:szCs w:val="18"/>
              </w:rPr>
              <w:t xml:space="preserve">Admission:  October 6, 2025</w:t>
            </w:r>
          </w:p>
          <w:p>
            <w:pPr>
              <w:spacing w:before="40" w:after="0"/>
              <w:jc w:val="right"/>
            </w:pPr>
            <w:r>
              <w:rPr>
                <w:rFonts w:ascii="Arial" w:cs="Arial" w:eastAsia="Arial" w:hAnsi="Arial"/>
                <w:b w:val="false"/>
                <w:bCs w:val="false"/>
                <w:color w:val="333333"/>
                <w:sz w:val="18"/>
                <w:szCs w:val="18"/>
              </w:rPr>
              <w:t xml:space="preserve">Discharge:  October 9, 2025</w:t>
            </w:r>
          </w:p>
        </w:tc>
      </w:tr>
    </w:tbl>
    <w:p>
      <w:pPr>
        <w:pBdr>
          <w:bottom w:val="single" w:color="1A5276" w:sz="6" w:space="1"/>
        </w:pBdr>
        <w:spacing w:before="40"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920"/>
        <w:gridCol w:w="240"/>
        <w:gridCol w:w="4920"/>
      </w:tblGrid>
      <w:tr>
        <w:tc>
          <w:tcPr>
            <w:tcW w:type="dxa" w:w="4920"/>
            <w:tcBorders>
              <w:top w:val="single" w:color="1A5276" w:sz="4"/>
              <w:left w:val="none" w:color="FFFFFF" w:sz="0"/>
              <w:bottom w:val="none" w:color="FFFFFF" w:sz="0"/>
              <w:right w:val="none" w:color="FFFFFF" w:sz="0"/>
            </w:tcBorders>
            <w:tcMar>
              <w:top w:type="dxa" w:w="120"/>
              <w:left w:type="dxa" w:w="0"/>
              <w:bottom w:type="dxa" w:w="80"/>
              <w:right w:type="dxa" w:w="80"/>
            </w:tcMar>
          </w:tcPr>
          <w:p>
            <w:pPr>
              <w:spacing w:before="0" w:after="80"/>
              <w:jc w:val="left"/>
            </w:pPr>
            <w:r>
              <w:rPr>
                <w:rFonts w:ascii="Arial" w:cs="Arial" w:eastAsia="Arial" w:hAnsi="Arial"/>
                <w:b/>
                <w:bCs/>
                <w:color w:val="1A5276"/>
                <w:sz w:val="18"/>
                <w:szCs w:val="18"/>
              </w:rPr>
              <w:t xml:space="preserve">PATIENT INFORMATION</w:t>
            </w:r>
          </w:p>
          <w:p>
            <w:pPr>
              <w:spacing w:before="60" w:after="0"/>
            </w:pPr>
            <w:r>
              <w:t xml:space="preserve"/>
            </w:r>
          </w:p>
          <w:p>
            <w:pPr>
              <w:spacing w:before="40" w:after="50"/>
            </w:pPr>
            <w:r>
              <w:rPr>
                <w:rFonts w:ascii="Arial" w:cs="Arial" w:eastAsia="Arial" w:hAnsi="Arial"/>
                <w:b/>
                <w:bCs/>
                <w:sz w:val="20"/>
                <w:szCs w:val="20"/>
              </w:rPr>
              <w:t xml:space="preserve">Patient Name:  </w:t>
            </w:r>
            <w:r>
              <w:rPr>
                <w:rFonts w:ascii="Arial" w:cs="Arial" w:eastAsia="Arial" w:hAnsi="Arial"/>
                <w:sz w:val="20"/>
                <w:szCs w:val="20"/>
              </w:rPr>
              <w:t xml:space="preserve">James A. Nwosu</w:t>
            </w:r>
          </w:p>
          <w:p>
            <w:pPr>
              <w:spacing w:before="40" w:after="50"/>
            </w:pPr>
            <w:r>
              <w:rPr>
                <w:rFonts w:ascii="Arial" w:cs="Arial" w:eastAsia="Arial" w:hAnsi="Arial"/>
                <w:b/>
                <w:bCs/>
                <w:sz w:val="20"/>
                <w:szCs w:val="20"/>
              </w:rPr>
              <w:t xml:space="preserve">Date of Birth:  </w:t>
            </w:r>
            <w:r>
              <w:rPr>
                <w:rFonts w:ascii="Arial" w:cs="Arial" w:eastAsia="Arial" w:hAnsi="Arial"/>
                <w:sz w:val="20"/>
                <w:szCs w:val="20"/>
              </w:rPr>
              <w:t xml:space="preserve">March 18, 1991  (Age: 34)</w:t>
            </w:r>
          </w:p>
          <w:p>
            <w:pPr>
              <w:spacing w:before="40" w:after="50"/>
            </w:pPr>
            <w:r>
              <w:rPr>
                <w:rFonts w:ascii="Arial" w:cs="Arial" w:eastAsia="Arial" w:hAnsi="Arial"/>
                <w:b/>
                <w:bCs/>
                <w:sz w:val="20"/>
                <w:szCs w:val="20"/>
              </w:rPr>
              <w:t xml:space="preserve">Gender:  </w:t>
            </w:r>
            <w:r>
              <w:rPr>
                <w:rFonts w:ascii="Arial" w:cs="Arial" w:eastAsia="Arial" w:hAnsi="Arial"/>
                <w:sz w:val="20"/>
                <w:szCs w:val="20"/>
              </w:rPr>
              <w:t xml:space="preserve">Male</w:t>
            </w:r>
          </w:p>
          <w:p>
            <w:pPr>
              <w:spacing w:before="40" w:after="50"/>
            </w:pPr>
            <w:r>
              <w:rPr>
                <w:rFonts w:ascii="Arial" w:cs="Arial" w:eastAsia="Arial" w:hAnsi="Arial"/>
                <w:b/>
                <w:bCs/>
                <w:sz w:val="20"/>
                <w:szCs w:val="20"/>
              </w:rPr>
              <w:t xml:space="preserve">MRN:  </w:t>
            </w:r>
            <w:r>
              <w:rPr>
                <w:rFonts w:ascii="Arial" w:cs="Arial" w:eastAsia="Arial" w:hAnsi="Arial"/>
                <w:sz w:val="20"/>
                <w:szCs w:val="20"/>
              </w:rPr>
              <w:t xml:space="preserve">MRN-2234-HOU</w:t>
            </w:r>
          </w:p>
          <w:p>
            <w:pPr>
              <w:spacing w:before="40" w:after="50"/>
            </w:pPr>
            <w:r>
              <w:rPr>
                <w:rFonts w:ascii="Arial" w:cs="Arial" w:eastAsia="Arial" w:hAnsi="Arial"/>
                <w:b/>
                <w:bCs/>
                <w:sz w:val="20"/>
                <w:szCs w:val="20"/>
              </w:rPr>
              <w:t xml:space="preserve">Address:  </w:t>
            </w:r>
            <w:r>
              <w:rPr>
                <w:rFonts w:ascii="Arial" w:cs="Arial" w:eastAsia="Arial" w:hAnsi="Arial"/>
                <w:sz w:val="20"/>
                <w:szCs w:val="20"/>
              </w:rPr>
              <w:t xml:space="preserve">3312 Heights Blvd, Houston, TX 77008</w:t>
            </w:r>
          </w:p>
        </w:tc>
        <w:tc>
          <w:tcPr>
            <w:tcW w:type="dxa" w:w="240"/>
            <w:tcBorders>
              <w:top w:val="none" w:color="FFFFFF" w:sz="0"/>
              <w:left w:val="none" w:color="FFFFFF" w:sz="0"/>
              <w:bottom w:val="none" w:color="FFFFFF" w:sz="0"/>
              <w:right w:val="none" w:color="FFFFFF" w:sz="0"/>
            </w:tcBorders>
          </w:tcPr>
          <w:p>
            <w:pPr>
              <w:spacing w:before="0" w:after="80"/>
              <w:jc w:val="left"/>
            </w:pPr>
            <w:r>
              <w:rPr>
                <w:rFonts w:ascii="Arial" w:cs="Arial" w:eastAsia="Arial" w:hAnsi="Arial"/>
                <w:b w:val="false"/>
                <w:bCs w:val="false"/>
                <w:color w:val="000000"/>
                <w:sz w:val="20"/>
                <w:szCs w:val="20"/>
              </w:rPr>
              <w:t xml:space="preserve"/>
            </w:r>
          </w:p>
        </w:tc>
        <w:tc>
          <w:tcPr>
            <w:tcW w:type="dxa" w:w="4920"/>
            <w:tcBorders>
              <w:top w:val="single" w:color="1A5276" w:sz="4"/>
              <w:left w:val="none" w:color="FFFFFF" w:sz="0"/>
              <w:bottom w:val="none" w:color="FFFFFF" w:sz="0"/>
              <w:right w:val="none" w:color="FFFFFF" w:sz="0"/>
            </w:tcBorders>
            <w:tcMar>
              <w:top w:type="dxa" w:w="120"/>
              <w:left w:type="dxa" w:w="80"/>
              <w:bottom w:type="dxa" w:w="80"/>
              <w:right w:type="dxa" w:w="0"/>
            </w:tcMar>
          </w:tcPr>
          <w:p>
            <w:pPr>
              <w:spacing w:before="0" w:after="80"/>
              <w:jc w:val="left"/>
            </w:pPr>
            <w:r>
              <w:rPr>
                <w:rFonts w:ascii="Arial" w:cs="Arial" w:eastAsia="Arial" w:hAnsi="Arial"/>
                <w:b/>
                <w:bCs/>
                <w:color w:val="1A5276"/>
                <w:sz w:val="18"/>
                <w:szCs w:val="18"/>
              </w:rPr>
              <w:t xml:space="preserve">CLINICAL INFORMATION</w:t>
            </w:r>
          </w:p>
          <w:p>
            <w:pPr>
              <w:spacing w:before="60" w:after="0"/>
            </w:pPr>
            <w:r>
              <w:t xml:space="preserve"/>
            </w:r>
          </w:p>
          <w:p>
            <w:pPr>
              <w:spacing w:before="40" w:after="50"/>
            </w:pPr>
            <w:r>
              <w:rPr>
                <w:rFonts w:ascii="Arial" w:cs="Arial" w:eastAsia="Arial" w:hAnsi="Arial"/>
                <w:b/>
                <w:bCs/>
                <w:sz w:val="20"/>
                <w:szCs w:val="20"/>
              </w:rPr>
              <w:t xml:space="preserve">Attending Physician:  </w:t>
            </w:r>
            <w:r>
              <w:rPr>
                <w:rFonts w:ascii="Arial" w:cs="Arial" w:eastAsia="Arial" w:hAnsi="Arial"/>
                <w:sz w:val="20"/>
                <w:szCs w:val="20"/>
              </w:rPr>
              <w:t xml:space="preserve">Dr. Amara Singh, MD – Endocrinology</w:t>
            </w:r>
          </w:p>
          <w:p>
            <w:pPr>
              <w:spacing w:before="40" w:after="50"/>
            </w:pPr>
            <w:r>
              <w:rPr>
                <w:rFonts w:ascii="Arial" w:cs="Arial" w:eastAsia="Arial" w:hAnsi="Arial"/>
                <w:b/>
                <w:bCs/>
                <w:sz w:val="20"/>
                <w:szCs w:val="20"/>
              </w:rPr>
              <w:t xml:space="preserve">NPI:  </w:t>
            </w:r>
            <w:r>
              <w:rPr>
                <w:rFonts w:ascii="Arial" w:cs="Arial" w:eastAsia="Arial" w:hAnsi="Arial"/>
                <w:sz w:val="20"/>
                <w:szCs w:val="20"/>
              </w:rPr>
              <w:t xml:space="preserve">1489234701</w:t>
            </w:r>
          </w:p>
          <w:p>
            <w:pPr>
              <w:spacing w:before="40" w:after="50"/>
            </w:pPr>
            <w:r>
              <w:rPr>
                <w:rFonts w:ascii="Arial" w:cs="Arial" w:eastAsia="Arial" w:hAnsi="Arial"/>
                <w:b/>
                <w:bCs/>
                <w:sz w:val="20"/>
                <w:szCs w:val="20"/>
              </w:rPr>
              <w:t xml:space="preserve">Facility:  </w:t>
            </w:r>
            <w:r>
              <w:rPr>
                <w:rFonts w:ascii="Arial" w:cs="Arial" w:eastAsia="Arial" w:hAnsi="Arial"/>
                <w:sz w:val="20"/>
                <w:szCs w:val="20"/>
              </w:rPr>
              <w:t xml:space="preserve">NexusCare – Main Campus</w:t>
            </w:r>
          </w:p>
          <w:p>
            <w:pPr>
              <w:spacing w:before="40" w:after="50"/>
            </w:pPr>
            <w:r>
              <w:rPr>
                <w:rFonts w:ascii="Arial" w:cs="Arial" w:eastAsia="Arial" w:hAnsi="Arial"/>
                <w:b/>
                <w:bCs/>
                <w:sz w:val="20"/>
                <w:szCs w:val="20"/>
              </w:rPr>
              <w:t xml:space="preserve">Discharge Condition:  </w:t>
            </w:r>
            <w:r>
              <w:rPr>
                <w:rFonts w:ascii="Arial" w:cs="Arial" w:eastAsia="Arial" w:hAnsi="Arial"/>
                <w:sz w:val="20"/>
                <w:szCs w:val="20"/>
              </w:rPr>
              <w:t xml:space="preserve">Stable. Alert and oriented x4. Tolerating diet.</w:t>
            </w:r>
          </w:p>
          <w:p>
            <w:pPr>
              <w:spacing w:before="40" w:after="50"/>
            </w:pPr>
            <w:r>
              <w:rPr>
                <w:rFonts w:ascii="Arial" w:cs="Arial" w:eastAsia="Arial" w:hAnsi="Arial"/>
                <w:b/>
                <w:bCs/>
                <w:sz w:val="20"/>
                <w:szCs w:val="20"/>
              </w:rPr>
              <w:t xml:space="preserve">ICD-10 Codes:  </w:t>
            </w:r>
            <w:r>
              <w:rPr>
                <w:rFonts w:ascii="Arial" w:cs="Arial" w:eastAsia="Arial" w:hAnsi="Arial"/>
                <w:sz w:val="20"/>
                <w:szCs w:val="20"/>
              </w:rPr>
              <w:t xml:space="preserve">E11.649, E11.01, Z87.39</w:t>
            </w:r>
          </w:p>
        </w:tc>
      </w:tr>
    </w:tbl>
    <w:p>
      <w:pPr>
        <w:spacing w:before="200" w:after="0"/>
        <w:jc w:val="left"/>
      </w:pPr>
      <w:r>
        <w:rPr>
          <w:rFonts w:ascii="Arial" w:cs="Arial" w:eastAsia="Arial" w:hAnsi="Arial"/>
          <w:b/>
          <w:bCs/>
          <w:color w:val="1A5276"/>
          <w:sz w:val="20"/>
          <w:szCs w:val="20"/>
        </w:rPr>
        <w:t xml:space="preserve">1. CHIEF COMPLAINT</w:t>
      </w:r>
    </w:p>
    <w:p>
      <w:pPr>
        <w:pBdr>
          <w:bottom w:val="single" w:color="CCCCCC" w:sz="2" w:space="1"/>
        </w:pBdr>
        <w:spacing w:before="40" w:after="100"/>
      </w:pPr>
    </w:p>
    <w:p>
      <w:pPr>
        <w:spacing w:before="0" w:after="60"/>
        <w:jc w:val="left"/>
      </w:pPr>
      <w:r>
        <w:rPr>
          <w:rFonts w:ascii="Arial" w:cs="Arial" w:eastAsia="Arial" w:hAnsi="Arial"/>
          <w:b w:val="false"/>
          <w:bCs w:val="false"/>
          <w:color w:val="000000"/>
          <w:sz w:val="19"/>
          <w:szCs w:val="19"/>
        </w:rPr>
        <w:t xml:space="preserve">Patient presented with a 2-day history of nausea, vomiting, polyuria, and confusion. Blood glucose on arrival measured at 498 mg/dL.</w:t>
      </w:r>
    </w:p>
    <w:p>
      <w:pPr>
        <w:spacing w:before="200" w:after="0"/>
        <w:jc w:val="left"/>
      </w:pPr>
      <w:r>
        <w:rPr>
          <w:rFonts w:ascii="Arial" w:cs="Arial" w:eastAsia="Arial" w:hAnsi="Arial"/>
          <w:b/>
          <w:bCs/>
          <w:color w:val="1A5276"/>
          <w:sz w:val="20"/>
          <w:szCs w:val="20"/>
        </w:rPr>
        <w:t xml:space="preserve">2. HISTORY OF PRESENT ILLNESS</w:t>
      </w:r>
    </w:p>
    <w:p>
      <w:pPr>
        <w:pBdr>
          <w:bottom w:val="single" w:color="CCCCCC" w:sz="2" w:space="1"/>
        </w:pBdr>
        <w:spacing w:before="40" w:after="100"/>
      </w:pPr>
    </w:p>
    <w:p>
      <w:pPr>
        <w:spacing w:before="0" w:after="60"/>
        <w:jc w:val="left"/>
      </w:pPr>
      <w:r>
        <w:rPr>
          <w:rFonts w:ascii="Arial" w:cs="Arial" w:eastAsia="Arial" w:hAnsi="Arial"/>
          <w:b w:val="false"/>
          <w:bCs w:val="false"/>
          <w:color w:val="000000"/>
          <w:sz w:val="19"/>
          <w:szCs w:val="19"/>
        </w:rPr>
        <w:t xml:space="preserve">Mr. James A. Nwosu, a 34-year-old male with a known history of Type 1 Diabetes Mellitus, presented to the NexusCare Emergency Department on October 6, 2025, accompanied by his partner. He reported missing two insulin doses over the preceding 48 hours following a gastrointestinal illness and subsequent inability to eat. He denied fever, chest pain, or shortness of breath. Ketones were detected in urine on initial testing.</w:t>
      </w:r>
    </w:p>
    <w:p>
      <w:pPr>
        <w:spacing w:before="200" w:after="0"/>
        <w:jc w:val="left"/>
      </w:pPr>
      <w:r>
        <w:rPr>
          <w:rFonts w:ascii="Arial" w:cs="Arial" w:eastAsia="Arial" w:hAnsi="Arial"/>
          <w:b/>
          <w:bCs/>
          <w:color w:val="1A5276"/>
          <w:sz w:val="20"/>
          <w:szCs w:val="20"/>
        </w:rPr>
        <w:t xml:space="preserve">3. PAST MEDICAL HISTORY / PRE-EXISTING CONDITIONS</w:t>
      </w:r>
    </w:p>
    <w:p>
      <w:pPr>
        <w:pBdr>
          <w:bottom w:val="single" w:color="CCCCCC" w:sz="2" w:space="1"/>
        </w:pBdr>
        <w:spacing w:before="40" w:after="100"/>
      </w:pPr>
    </w:p>
    <w:p>
      <w:pPr>
        <w:spacing w:before="0" w:after="60"/>
        <w:jc w:val="left"/>
      </w:pPr>
      <w:r>
        <w:rPr>
          <w:rFonts w:ascii="Arial" w:cs="Arial" w:eastAsia="Arial" w:hAnsi="Arial"/>
          <w:b w:val="false"/>
          <w:bCs w:val="false"/>
          <w:color w:val="000000"/>
          <w:sz w:val="19"/>
          <w:szCs w:val="19"/>
        </w:rPr>
        <w:t xml:space="preserve">Type 1 Diabetes Mellitus (diagnosed age 12); Mild Diabetic Peripheral Neuropathy; No prior hospitalizations for DKA.</w:t>
      </w:r>
    </w:p>
    <w:p>
      <w:pPr>
        <w:spacing w:before="200" w:after="0"/>
        <w:jc w:val="left"/>
      </w:pPr>
      <w:r>
        <w:rPr>
          <w:rFonts w:ascii="Arial" w:cs="Arial" w:eastAsia="Arial" w:hAnsi="Arial"/>
          <w:b/>
          <w:bCs/>
          <w:color w:val="1A5276"/>
          <w:sz w:val="20"/>
          <w:szCs w:val="20"/>
        </w:rPr>
        <w:t xml:space="preserve">4. CURRENT MEDICATIONS ON ADMISSION</w:t>
      </w:r>
    </w:p>
    <w:p>
      <w:pPr>
        <w:pBdr>
          <w:bottom w:val="single" w:color="CCCCCC" w:sz="2" w:space="1"/>
        </w:pBdr>
        <w:spacing w:before="40" w:after="100"/>
      </w:pPr>
    </w:p>
    <w:p>
      <w:pPr>
        <w:spacing w:before="0" w:after="60"/>
        <w:jc w:val="left"/>
      </w:pPr>
      <w:r>
        <w:rPr>
          <w:rFonts w:ascii="Arial" w:cs="Arial" w:eastAsia="Arial" w:hAnsi="Arial"/>
          <w:b w:val="false"/>
          <w:bCs w:val="false"/>
          <w:color w:val="000000"/>
          <w:sz w:val="19"/>
          <w:szCs w:val="19"/>
        </w:rPr>
        <w:t xml:space="preserve">Insulin Glargine (Lantus) 24 units subcutaneous at bedtime; Insulin Lispro (Humalog) per sliding scale with meals; Metformin 500mg twice daily (held on admission).</w:t>
      </w:r>
    </w:p>
    <w:p>
      <w:pPr>
        <w:spacing w:before="200" w:after="0"/>
        <w:jc w:val="left"/>
      </w:pPr>
      <w:r>
        <w:rPr>
          <w:rFonts w:ascii="Arial" w:cs="Arial" w:eastAsia="Arial" w:hAnsi="Arial"/>
          <w:b/>
          <w:bCs/>
          <w:color w:val="1A5276"/>
          <w:sz w:val="20"/>
          <w:szCs w:val="20"/>
        </w:rPr>
        <w:t xml:space="preserve">5. ALLERGIES</w:t>
      </w:r>
    </w:p>
    <w:p>
      <w:pPr>
        <w:pBdr>
          <w:bottom w:val="single" w:color="CCCCCC" w:sz="2" w:space="1"/>
        </w:pBdr>
        <w:spacing w:before="40" w:after="100"/>
      </w:pPr>
    </w:p>
    <w:p>
      <w:pPr>
        <w:spacing w:before="0" w:after="60"/>
        <w:jc w:val="left"/>
      </w:pPr>
      <w:r>
        <w:rPr>
          <w:rFonts w:ascii="Arial" w:cs="Arial" w:eastAsia="Arial" w:hAnsi="Arial"/>
          <w:b w:val="false"/>
          <w:bCs w:val="false"/>
          <w:color w:val="000000"/>
          <w:sz w:val="19"/>
          <w:szCs w:val="19"/>
        </w:rPr>
        <w:t xml:space="preserve">Penicillin – Rash (Moderate). No known food or latex allergies.</w:t>
      </w:r>
    </w:p>
    <w:p>
      <w:pPr>
        <w:spacing w:before="200" w:after="0"/>
        <w:jc w:val="left"/>
      </w:pPr>
      <w:r>
        <w:rPr>
          <w:rFonts w:ascii="Arial" w:cs="Arial" w:eastAsia="Arial" w:hAnsi="Arial"/>
          <w:b/>
          <w:bCs/>
          <w:color w:val="1A5276"/>
          <w:sz w:val="20"/>
          <w:szCs w:val="20"/>
        </w:rPr>
        <w:t xml:space="preserve">6. PHYSICAL EXAMINATION FINDINGS</w:t>
      </w:r>
    </w:p>
    <w:p>
      <w:pPr>
        <w:pBdr>
          <w:bottom w:val="single" w:color="CCCCCC" w:sz="2" w:space="1"/>
        </w:pBdr>
        <w:spacing w:before="40" w:after="100"/>
      </w:pPr>
    </w:p>
    <w:p>
      <w:pPr>
        <w:spacing w:before="0" w:after="60"/>
        <w:jc w:val="left"/>
      </w:pPr>
      <w:r>
        <w:rPr>
          <w:rFonts w:ascii="Arial" w:cs="Arial" w:eastAsia="Arial" w:hAnsi="Arial"/>
          <w:b w:val="false"/>
          <w:bCs w:val="false"/>
          <w:color w:val="000000"/>
          <w:sz w:val="19"/>
          <w:szCs w:val="19"/>
        </w:rPr>
        <w:t xml:space="preserve">Vital Signs: Temp 37.2°C, HR 112 bpm (tachycardic), BP 94/60 mmHg (hypotensive on arrival), RR 22/min, SpO2 98% on room air. General: Alert but lethargic. Skin turgor reduced. Mucous membranes dry. Abdomen: mild diffuse tenderness, no guarding. Neurological: oriented x2.</w:t>
      </w:r>
    </w:p>
    <w:p>
      <w:pPr>
        <w:spacing w:before="200" w:after="0"/>
        <w:jc w:val="left"/>
      </w:pPr>
      <w:r>
        <w:rPr>
          <w:rFonts w:ascii="Arial" w:cs="Arial" w:eastAsia="Arial" w:hAnsi="Arial"/>
          <w:b/>
          <w:bCs/>
          <w:color w:val="1A5276"/>
          <w:sz w:val="20"/>
          <w:szCs w:val="20"/>
        </w:rPr>
        <w:t xml:space="preserve">7. DIAGNOSTIC RESULTS</w:t>
      </w:r>
    </w:p>
    <w:p>
      <w:pPr>
        <w:pBdr>
          <w:bottom w:val="single" w:color="CCCCCC" w:sz="2" w:space="1"/>
        </w:pBdr>
        <w:spacing w:before="40" w:after="100"/>
      </w:pPr>
    </w:p>
    <w:p>
      <w:pPr>
        <w:spacing w:before="0" w:after="60"/>
        <w:jc w:val="left"/>
      </w:pPr>
      <w:r>
        <w:rPr>
          <w:rFonts w:ascii="Arial" w:cs="Arial" w:eastAsia="Arial" w:hAnsi="Arial"/>
          <w:b w:val="false"/>
          <w:bCs w:val="false"/>
          <w:color w:val="000000"/>
          <w:sz w:val="19"/>
          <w:szCs w:val="19"/>
        </w:rPr>
        <w:t xml:space="preserve">Admission Labs: Glucose 498 mg/dL (H); pH 7.18 (L); Bicarbonate 10 mEq/L (L); Anion Gap 24 (H); Beta-hydroxybutyrate 5.4 mmol/L (H); Potassium 5.8 mEq/L (H); Creatinine 1.4 mg/dL (mildly elevated). HbA1c: 10.2%. Repeat glucose at 24h: 182 mg/dL (normalized).</w:t>
      </w:r>
    </w:p>
    <w:p>
      <w:pPr>
        <w:spacing w:before="60" w:after="60"/>
        <w:jc w:val="left"/>
      </w:pPr>
      <w:r>
        <w:rPr>
          <w:rFonts w:ascii="Arial" w:cs="Arial" w:eastAsia="Arial" w:hAnsi="Arial"/>
          <w:b w:val="false"/>
          <w:bCs w:val="false"/>
          <w:color w:val="000000"/>
          <w:sz w:val="19"/>
          <w:szCs w:val="19"/>
        </w:rPr>
        <w:t xml:space="preserve">Chest X-Ray (Oct 6): No acute cardiopulmonary process. No consolidation or pneumothorax identified. ECG: Sinus tachycardia, no ST-segment changes.</w:t>
      </w:r>
    </w:p>
    <w:p>
      <w:pPr>
        <w:spacing w:before="200" w:after="0"/>
        <w:jc w:val="left"/>
      </w:pPr>
      <w:r>
        <w:rPr>
          <w:rFonts w:ascii="Arial" w:cs="Arial" w:eastAsia="Arial" w:hAnsi="Arial"/>
          <w:b/>
          <w:bCs/>
          <w:color w:val="1A5276"/>
          <w:sz w:val="20"/>
          <w:szCs w:val="20"/>
        </w:rPr>
        <w:t xml:space="preserve">8. HOSPITAL COURSE &amp; TREATMENT</w:t>
      </w:r>
    </w:p>
    <w:p>
      <w:pPr>
        <w:pBdr>
          <w:bottom w:val="single" w:color="CCCCCC" w:sz="2" w:space="1"/>
        </w:pBdr>
        <w:spacing w:before="40" w:after="100"/>
      </w:pPr>
    </w:p>
    <w:p>
      <w:pPr>
        <w:spacing w:before="0" w:after="60"/>
        <w:jc w:val="left"/>
      </w:pPr>
      <w:r>
        <w:rPr>
          <w:rFonts w:ascii="Arial" w:cs="Arial" w:eastAsia="Arial" w:hAnsi="Arial"/>
          <w:b w:val="false"/>
          <w:bCs w:val="false"/>
          <w:color w:val="000000"/>
          <w:sz w:val="19"/>
          <w:szCs w:val="19"/>
        </w:rPr>
        <w:t xml:space="preserve">Patient was admitted to the ICU stepdown unit for management of Diabetic Ketoacidosis (DKA). IV fluid resuscitation with Normal Saline 1L bolus was initiated, followed by continuous insulin infusion per DKA protocol. Potassium replacement was administered cautiously. Anion gap normalized by hour 18. Patient was transitioned to subcutaneous insulin at hour 20 and tolerated oral intake by day 2. Endocrinology was consulted and revised home insulin regimen. Diabetes education provided by certified nurse educator on day 3.</w:t>
      </w:r>
    </w:p>
    <w:p>
      <w:pPr>
        <w:spacing w:before="200" w:after="0"/>
        <w:jc w:val="left"/>
      </w:pPr>
      <w:r>
        <w:rPr>
          <w:rFonts w:ascii="Arial" w:cs="Arial" w:eastAsia="Arial" w:hAnsi="Arial"/>
          <w:b/>
          <w:bCs/>
          <w:color w:val="1A5276"/>
          <w:sz w:val="20"/>
          <w:szCs w:val="20"/>
        </w:rPr>
        <w:t xml:space="preserve">9. DISCHARGE INSTRUCTIONS</w:t>
      </w:r>
    </w:p>
    <w:p>
      <w:pPr>
        <w:pBdr>
          <w:bottom w:val="single" w:color="CCCCCC" w:sz="2" w:space="1"/>
        </w:pBdr>
        <w:spacing w:before="40" w:after="100"/>
      </w:pPr>
    </w:p>
    <w:p>
      <w:pPr>
        <w:spacing w:before="0" w:after="60"/>
        <w:jc w:val="left"/>
      </w:pPr>
      <w:r>
        <w:rPr>
          <w:rFonts w:ascii="Arial" w:cs="Arial" w:eastAsia="Arial" w:hAnsi="Arial"/>
          <w:b w:val="false"/>
          <w:bCs w:val="false"/>
          <w:color w:val="000000"/>
          <w:sz w:val="19"/>
          <w:szCs w:val="19"/>
        </w:rPr>
        <w:t xml:space="preserve">Resume revised insulin regimen as instructed by Dr. Singh. Monitor blood glucose 4x daily and log readings. Maintain adequate fluid and carbohydrate intake during illness. Seek emergency care if glucose exceeds 300 mg/dL or ketones detected. Avoid missing doses — sick-day management plan provided.</w:t>
      </w:r>
    </w:p>
    <w:p>
      <w:pPr>
        <w:spacing w:before="200" w:after="0"/>
        <w:jc w:val="left"/>
      </w:pPr>
      <w:r>
        <w:rPr>
          <w:rFonts w:ascii="Arial" w:cs="Arial" w:eastAsia="Arial" w:hAnsi="Arial"/>
          <w:b/>
          <w:bCs/>
          <w:color w:val="1A5276"/>
          <w:sz w:val="20"/>
          <w:szCs w:val="20"/>
        </w:rPr>
        <w:t xml:space="preserve">10. FOLLOW-UP PLAN</w:t>
      </w:r>
    </w:p>
    <w:p>
      <w:pPr>
        <w:pBdr>
          <w:bottom w:val="single" w:color="CCCCCC" w:sz="2" w:space="1"/>
        </w:pBdr>
        <w:spacing w:before="40" w:after="100"/>
      </w:pPr>
    </w:p>
    <w:p>
      <w:pPr>
        <w:spacing w:before="0" w:after="60"/>
        <w:jc w:val="left"/>
      </w:pPr>
      <w:r>
        <w:rPr>
          <w:rFonts w:ascii="Arial" w:cs="Arial" w:eastAsia="Arial" w:hAnsi="Arial"/>
          <w:b w:val="false"/>
          <w:bCs w:val="false"/>
          <w:color w:val="000000"/>
          <w:sz w:val="19"/>
          <w:szCs w:val="19"/>
        </w:rPr>
        <w:t xml:space="preserve">Follow-up with Dr. Amara Singh (Endocrinology) within 7 days. Primary care visit within 14 days. Diabetes education program enrollment recommended.</w:t>
      </w:r>
    </w:p>
    <w:p>
      <w:pPr>
        <w:spacing w:before="160" w:after="0"/>
      </w:pPr>
      <w:r>
        <w:t xml:space="preserve"/>
      </w:r>
    </w:p>
    <w:p>
      <w:pPr>
        <w:pBdr>
          <w:bottom w:val="single" w:color="1A5276" w:sz="6" w:space="1"/>
        </w:pBdr>
        <w:spacing w:before="40" w:after="120"/>
      </w:pPr>
    </w:p>
    <w:p>
      <w:pPr>
        <w:spacing w:before="0" w:after="80"/>
        <w:jc w:val="center"/>
      </w:pPr>
      <w:r>
        <w:rPr>
          <w:rFonts w:ascii="Arial" w:cs="Arial" w:eastAsia="Arial" w:hAnsi="Arial"/>
          <w:b w:val="false"/>
          <w:bCs w:val="false"/>
          <w:color w:val="888888"/>
          <w:sz w:val="16"/>
          <w:szCs w:val="16"/>
        </w:rPr>
        <w:t xml:space="preserve">NexusCare Health Systems  |  Riverside Medical Pavilion, 4820 Lakewood Blvd, Suite 300, Houston, TX 77056</w:t>
      </w:r>
    </w:p>
    <w:p>
      <w:pPr>
        <w:spacing w:before="40" w:after="0"/>
        <w:jc w:val="center"/>
      </w:pPr>
      <w:r>
        <w:rPr>
          <w:rFonts w:ascii="Arial" w:cs="Arial" w:eastAsia="Arial" w:hAnsi="Arial"/>
          <w:b w:val="false"/>
          <w:bCs w:val="false"/>
          <w:color w:val="888888"/>
          <w:sz w:val="16"/>
          <w:szCs w:val="16"/>
        </w:rPr>
        <w:t xml:space="preserve">CONFIDENTIAL MEDICAL RECORD — Unauthorized disclosure is prohibited by law. HIPAA Compliant.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2026-03-25T12:20:02.930Z</dcterms:created>
  <dcterms:modified xsi:type="dcterms:W3CDTF">2026-03-25T12:20:02.930Z</dcterms:modified>
</cp:coreProperties>
</file>

<file path=docProps/custom.xml><?xml version="1.0" encoding="utf-8"?>
<Properties xmlns="http://schemas.openxmlformats.org/officeDocument/2006/custom-properties" xmlns:vt="http://schemas.openxmlformats.org/officeDocument/2006/docPropsVTypes"/>
</file>