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tcMar>
              <w:top w:type="dxa" w:w="0"/>
              <w:left w:type="dxa" w:w="0"/>
              <w:bottom w:type="dxa" w:w="0"/>
              <w:right w:type="dxa" w:w="200"/>
            </w:tcMar>
          </w:tcPr>
          <w:p>
            <w:pPr>
              <w:spacing w:before="0" w:after="80"/>
              <w:jc w:val="left"/>
            </w:pPr>
            <w:r>
              <w:rPr>
                <w:rFonts w:ascii="Arial" w:cs="Arial" w:eastAsia="Arial" w:hAnsi="Arial"/>
                <w:b/>
                <w:bCs/>
                <w:color w:val="1A5276"/>
                <w:sz w:val="52"/>
                <w:szCs w:val="52"/>
              </w:rPr>
              <w:t xml:space="preserve">NexusCare</w:t>
            </w:r>
          </w:p>
          <w:p>
            <w:pPr>
              <w:spacing w:before="0" w:after="60"/>
              <w:jc w:val="left"/>
            </w:pPr>
            <w:r>
              <w:rPr>
                <w:rFonts w:ascii="Arial" w:cs="Arial" w:eastAsia="Arial" w:hAnsi="Arial"/>
                <w:b/>
                <w:bCs/>
                <w:color w:val="2E86C1"/>
                <w:sz w:val="22"/>
                <w:szCs w:val="22"/>
              </w:rPr>
              <w:t xml:space="preserve">HEALTH SYSTEMS</w:t>
            </w:r>
          </w:p>
          <w:p>
            <w:pPr>
              <w:spacing w:before="0" w:after="20"/>
              <w:jc w:val="left"/>
            </w:pPr>
            <w:r>
              <w:rPr>
                <w:rFonts w:ascii="Arial" w:cs="Arial" w:eastAsia="Arial" w:hAnsi="Arial"/>
                <w:b w:val="false"/>
                <w:bCs w:val="false"/>
                <w:color w:val="555555"/>
                <w:sz w:val="18"/>
                <w:szCs w:val="18"/>
              </w:rPr>
              <w:t xml:space="preserve">Riverside Medical Pavilion, 4820 Lakewood Blvd, Suite 300</w:t>
            </w:r>
          </w:p>
          <w:p>
            <w:pPr>
              <w:spacing w:before="0" w:after="20"/>
              <w:jc w:val="left"/>
            </w:pPr>
            <w:r>
              <w:rPr>
                <w:rFonts w:ascii="Arial" w:cs="Arial" w:eastAsia="Arial" w:hAnsi="Arial"/>
                <w:b w:val="false"/>
                <w:bCs w:val="false"/>
                <w:color w:val="555555"/>
                <w:sz w:val="18"/>
                <w:szCs w:val="18"/>
              </w:rPr>
              <w:t xml:space="preserve">Houston, TX 77056  |  Tel: (713) 480-9200</w:t>
            </w:r>
          </w:p>
          <w:p>
            <w:pPr>
              <w:spacing w:before="0" w:after="80"/>
              <w:jc w:val="left"/>
            </w:pPr>
            <w:r>
              <w:rPr>
                <w:rFonts w:ascii="Arial" w:cs="Arial" w:eastAsia="Arial" w:hAnsi="Arial"/>
                <w:b w:val="false"/>
                <w:bCs w:val="false"/>
                <w:color w:val="555555"/>
                <w:sz w:val="18"/>
                <w:szCs w:val="18"/>
              </w:rPr>
              <w:t xml:space="preserve">records@nexuscarehealthsystems.com  |  www.nexuscarehealthsystems.com</w:t>
            </w:r>
          </w:p>
        </w:tc>
        <w:tc>
          <w:tcPr>
            <w:tcW w:type="dxa" w:w="4080"/>
            <w:tcBorders>
              <w:top w:val="none" w:color="FFFFFF" w:sz="0"/>
              <w:left w:val="none" w:color="FFFFFF" w:sz="0"/>
              <w:bottom w:val="none" w:color="FFFFFF" w:sz="0"/>
              <w:right w:val="none" w:color="FFFFFF" w:sz="0"/>
            </w:tcBorders>
            <w:tcMar>
              <w:top w:type="dxa" w:w="0"/>
              <w:left w:type="dxa" w:w="200"/>
              <w:bottom w:type="dxa" w:w="0"/>
              <w:right w:type="dxa" w:w="0"/>
            </w:tcMar>
            <w:vAlign w:val="top"/>
          </w:tcPr>
          <w:p>
            <w:pPr>
              <w:spacing w:before="0" w:after="80"/>
              <w:jc w:val="right"/>
            </w:pPr>
            <w:r>
              <w:rPr>
                <w:rFonts w:ascii="Arial" w:cs="Arial" w:eastAsia="Arial" w:hAnsi="Arial"/>
                <w:b/>
                <w:bCs/>
                <w:color w:val="1A5276"/>
                <w:sz w:val="26"/>
                <w:szCs w:val="26"/>
              </w:rPr>
              <w:t xml:space="preserve">DISCHARGE SUMMARY</w:t>
            </w:r>
          </w:p>
          <w:p>
            <w:pPr>
              <w:spacing w:before="80" w:after="0"/>
              <w:jc w:val="right"/>
            </w:pPr>
            <w:r>
              <w:rPr>
                <w:rFonts w:ascii="Arial" w:cs="Arial" w:eastAsia="Arial" w:hAnsi="Arial"/>
                <w:b w:val="false"/>
                <w:bCs w:val="false"/>
                <w:color w:val="333333"/>
                <w:sz w:val="18"/>
                <w:szCs w:val="18"/>
              </w:rPr>
              <w:t xml:space="preserve">Document No:  NXC-DS-2025-034882</w:t>
            </w:r>
          </w:p>
          <w:p>
            <w:pPr>
              <w:spacing w:before="40" w:after="0"/>
              <w:jc w:val="right"/>
            </w:pPr>
            <w:r>
              <w:rPr>
                <w:rFonts w:ascii="Arial" w:cs="Arial" w:eastAsia="Arial" w:hAnsi="Arial"/>
                <w:b w:val="false"/>
                <w:bCs w:val="false"/>
                <w:color w:val="333333"/>
                <w:sz w:val="18"/>
                <w:szCs w:val="18"/>
              </w:rPr>
              <w:t xml:space="preserve">Date Issued:  October 29, 2025</w:t>
            </w:r>
          </w:p>
          <w:p>
            <w:pPr>
              <w:spacing w:before="40" w:after="0"/>
              <w:jc w:val="right"/>
            </w:pPr>
            <w:r>
              <w:rPr>
                <w:rFonts w:ascii="Arial" w:cs="Arial" w:eastAsia="Arial" w:hAnsi="Arial"/>
                <w:b w:val="false"/>
                <w:bCs w:val="false"/>
                <w:color w:val="333333"/>
                <w:sz w:val="18"/>
                <w:szCs w:val="18"/>
              </w:rPr>
              <w:t xml:space="preserve">Admission:  October 24, 2025</w:t>
            </w:r>
          </w:p>
          <w:p>
            <w:pPr>
              <w:spacing w:before="40" w:after="0"/>
              <w:jc w:val="right"/>
            </w:pPr>
            <w:r>
              <w:rPr>
                <w:rFonts w:ascii="Arial" w:cs="Arial" w:eastAsia="Arial" w:hAnsi="Arial"/>
                <w:b w:val="false"/>
                <w:bCs w:val="false"/>
                <w:color w:val="333333"/>
                <w:sz w:val="18"/>
                <w:szCs w:val="18"/>
              </w:rPr>
              <w:t xml:space="preserve">Discharge:  October 29, 2025</w:t>
            </w:r>
          </w:p>
        </w:tc>
      </w:tr>
    </w:tbl>
    <w:p>
      <w:pPr>
        <w:pBdr>
          <w:bottom w:val="single" w:color="1A5276" w:sz="6" w:space="1"/>
        </w:pBdr>
        <w:spacing w:before="40"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920"/>
        <w:gridCol w:w="240"/>
        <w:gridCol w:w="4920"/>
      </w:tblGrid>
      <w:tr>
        <w:tc>
          <w:tcPr>
            <w:tcW w:type="dxa" w:w="4920"/>
            <w:tcBorders>
              <w:top w:val="single" w:color="1A5276" w:sz="4"/>
              <w:left w:val="none" w:color="FFFFFF" w:sz="0"/>
              <w:bottom w:val="none" w:color="FFFFFF" w:sz="0"/>
              <w:right w:val="none" w:color="FFFFFF" w:sz="0"/>
            </w:tcBorders>
            <w:tcMar>
              <w:top w:type="dxa" w:w="120"/>
              <w:left w:type="dxa" w:w="0"/>
              <w:bottom w:type="dxa" w:w="80"/>
              <w:right w:type="dxa" w:w="80"/>
            </w:tcMar>
          </w:tcPr>
          <w:p>
            <w:pPr>
              <w:spacing w:before="0" w:after="80"/>
              <w:jc w:val="left"/>
            </w:pPr>
            <w:r>
              <w:rPr>
                <w:rFonts w:ascii="Arial" w:cs="Arial" w:eastAsia="Arial" w:hAnsi="Arial"/>
                <w:b/>
                <w:bCs/>
                <w:color w:val="1A5276"/>
                <w:sz w:val="18"/>
                <w:szCs w:val="18"/>
              </w:rPr>
              <w:t xml:space="preserve">PATIENT INFORMATION</w:t>
            </w:r>
          </w:p>
          <w:p>
            <w:pPr>
              <w:spacing w:before="60" w:after="0"/>
            </w:pPr>
            <w:r>
              <w:t xml:space="preserve"/>
            </w:r>
          </w:p>
          <w:p>
            <w:pPr>
              <w:spacing w:before="40" w:after="50"/>
            </w:pPr>
            <w:r>
              <w:rPr>
                <w:rFonts w:ascii="Arial" w:cs="Arial" w:eastAsia="Arial" w:hAnsi="Arial"/>
                <w:b/>
                <w:bCs/>
                <w:sz w:val="20"/>
                <w:szCs w:val="20"/>
              </w:rPr>
              <w:t xml:space="preserve">Patient Name:  </w:t>
            </w:r>
            <w:r>
              <w:rPr>
                <w:rFonts w:ascii="Arial" w:cs="Arial" w:eastAsia="Arial" w:hAnsi="Arial"/>
                <w:sz w:val="20"/>
                <w:szCs w:val="20"/>
              </w:rPr>
              <w:t xml:space="preserve">Lorraine K. Espinoza</w:t>
            </w:r>
          </w:p>
          <w:p>
            <w:pPr>
              <w:spacing w:before="40" w:after="50"/>
            </w:pPr>
            <w:r>
              <w:rPr>
                <w:rFonts w:ascii="Arial" w:cs="Arial" w:eastAsia="Arial" w:hAnsi="Arial"/>
                <w:b/>
                <w:bCs/>
                <w:sz w:val="20"/>
                <w:szCs w:val="20"/>
              </w:rPr>
              <w:t xml:space="preserve">Date of Birth:  </w:t>
            </w:r>
            <w:r>
              <w:rPr>
                <w:rFonts w:ascii="Arial" w:cs="Arial" w:eastAsia="Arial" w:hAnsi="Arial"/>
                <w:sz w:val="20"/>
                <w:szCs w:val="20"/>
              </w:rPr>
              <w:t xml:space="preserve">August 5, 1978  (Age: 47)</w:t>
            </w:r>
          </w:p>
          <w:p>
            <w:pPr>
              <w:spacing w:before="40" w:after="50"/>
            </w:pPr>
            <w:r>
              <w:rPr>
                <w:rFonts w:ascii="Arial" w:cs="Arial" w:eastAsia="Arial" w:hAnsi="Arial"/>
                <w:b/>
                <w:bCs/>
                <w:sz w:val="20"/>
                <w:szCs w:val="20"/>
              </w:rPr>
              <w:t xml:space="preserve">Gender:  </w:t>
            </w:r>
            <w:r>
              <w:rPr>
                <w:rFonts w:ascii="Arial" w:cs="Arial" w:eastAsia="Arial" w:hAnsi="Arial"/>
                <w:sz w:val="20"/>
                <w:szCs w:val="20"/>
              </w:rPr>
              <w:t xml:space="preserve">Female</w:t>
            </w:r>
          </w:p>
          <w:p>
            <w:pPr>
              <w:spacing w:before="40" w:after="50"/>
            </w:pPr>
            <w:r>
              <w:rPr>
                <w:rFonts w:ascii="Arial" w:cs="Arial" w:eastAsia="Arial" w:hAnsi="Arial"/>
                <w:b/>
                <w:bCs/>
                <w:sz w:val="20"/>
                <w:szCs w:val="20"/>
              </w:rPr>
              <w:t xml:space="preserve">MRN:  </w:t>
            </w:r>
            <w:r>
              <w:rPr>
                <w:rFonts w:ascii="Arial" w:cs="Arial" w:eastAsia="Arial" w:hAnsi="Arial"/>
                <w:sz w:val="20"/>
                <w:szCs w:val="20"/>
              </w:rPr>
              <w:t xml:space="preserve">MRN-5512-HOU</w:t>
            </w:r>
          </w:p>
          <w:p>
            <w:pPr>
              <w:spacing w:before="40" w:after="50"/>
            </w:pPr>
            <w:r>
              <w:rPr>
                <w:rFonts w:ascii="Arial" w:cs="Arial" w:eastAsia="Arial" w:hAnsi="Arial"/>
                <w:b/>
                <w:bCs/>
                <w:sz w:val="20"/>
                <w:szCs w:val="20"/>
              </w:rPr>
              <w:t xml:space="preserve">Address:  </w:t>
            </w:r>
            <w:r>
              <w:rPr>
                <w:rFonts w:ascii="Arial" w:cs="Arial" w:eastAsia="Arial" w:hAnsi="Arial"/>
                <w:sz w:val="20"/>
                <w:szCs w:val="20"/>
              </w:rPr>
              <w:t xml:space="preserve">9820 Westheimer Rd, Suite 105, Houston, TX 77042</w:t>
            </w:r>
          </w:p>
        </w:tc>
        <w:tc>
          <w:tcPr>
            <w:tcW w:type="dxa" w:w="240"/>
            <w:tcBorders>
              <w:top w:val="none" w:color="FFFFFF" w:sz="0"/>
              <w:left w:val="none" w:color="FFFFFF" w:sz="0"/>
              <w:bottom w:val="none" w:color="FFFFFF" w:sz="0"/>
              <w:right w:val="none" w:color="FFFFFF" w:sz="0"/>
            </w:tcBorders>
          </w:tcPr>
          <w:p>
            <w:pPr>
              <w:spacing w:before="0" w:after="80"/>
              <w:jc w:val="left"/>
            </w:pPr>
            <w:r>
              <w:rPr>
                <w:rFonts w:ascii="Arial" w:cs="Arial" w:eastAsia="Arial" w:hAnsi="Arial"/>
                <w:b w:val="false"/>
                <w:bCs w:val="false"/>
                <w:color w:val="000000"/>
                <w:sz w:val="20"/>
                <w:szCs w:val="20"/>
              </w:rPr>
              <w:t xml:space="preserve"/>
            </w:r>
          </w:p>
        </w:tc>
        <w:tc>
          <w:tcPr>
            <w:tcW w:type="dxa" w:w="4920"/>
            <w:tcBorders>
              <w:top w:val="single" w:color="1A5276" w:sz="4"/>
              <w:left w:val="none" w:color="FFFFFF" w:sz="0"/>
              <w:bottom w:val="none" w:color="FFFFFF" w:sz="0"/>
              <w:right w:val="none" w:color="FFFFFF" w:sz="0"/>
            </w:tcBorders>
            <w:tcMar>
              <w:top w:type="dxa" w:w="120"/>
              <w:left w:type="dxa" w:w="80"/>
              <w:bottom w:type="dxa" w:w="80"/>
              <w:right w:type="dxa" w:w="0"/>
            </w:tcMar>
          </w:tcPr>
          <w:p>
            <w:pPr>
              <w:spacing w:before="0" w:after="80"/>
              <w:jc w:val="left"/>
            </w:pPr>
            <w:r>
              <w:rPr>
                <w:rFonts w:ascii="Arial" w:cs="Arial" w:eastAsia="Arial" w:hAnsi="Arial"/>
                <w:b/>
                <w:bCs/>
                <w:color w:val="1A5276"/>
                <w:sz w:val="18"/>
                <w:szCs w:val="18"/>
              </w:rPr>
              <w:t xml:space="preserve">CLINICAL INFORMATION</w:t>
            </w:r>
          </w:p>
          <w:p>
            <w:pPr>
              <w:spacing w:before="60" w:after="0"/>
            </w:pPr>
            <w:r>
              <w:t xml:space="preserve"/>
            </w:r>
          </w:p>
          <w:p>
            <w:pPr>
              <w:spacing w:before="40" w:after="50"/>
            </w:pPr>
            <w:r>
              <w:rPr>
                <w:rFonts w:ascii="Arial" w:cs="Arial" w:eastAsia="Arial" w:hAnsi="Arial"/>
                <w:b/>
                <w:bCs/>
                <w:sz w:val="20"/>
                <w:szCs w:val="20"/>
              </w:rPr>
              <w:t xml:space="preserve">Attending Physician:  </w:t>
            </w:r>
            <w:r>
              <w:rPr>
                <w:rFonts w:ascii="Arial" w:cs="Arial" w:eastAsia="Arial" w:hAnsi="Arial"/>
                <w:sz w:val="20"/>
                <w:szCs w:val="20"/>
              </w:rPr>
              <w:t xml:space="preserve">Dr. Benjamin Afolabi, MD – Nephrology</w:t>
            </w:r>
          </w:p>
          <w:p>
            <w:pPr>
              <w:spacing w:before="40" w:after="50"/>
            </w:pPr>
            <w:r>
              <w:rPr>
                <w:rFonts w:ascii="Arial" w:cs="Arial" w:eastAsia="Arial" w:hAnsi="Arial"/>
                <w:b/>
                <w:bCs/>
                <w:sz w:val="20"/>
                <w:szCs w:val="20"/>
              </w:rPr>
              <w:t xml:space="preserve">NPI:  </w:t>
            </w:r>
            <w:r>
              <w:rPr>
                <w:rFonts w:ascii="Arial" w:cs="Arial" w:eastAsia="Arial" w:hAnsi="Arial"/>
                <w:sz w:val="20"/>
                <w:szCs w:val="20"/>
              </w:rPr>
              <w:t xml:space="preserve">1302948512</w:t>
            </w:r>
          </w:p>
          <w:p>
            <w:pPr>
              <w:spacing w:before="40" w:after="50"/>
            </w:pPr>
            <w:r>
              <w:rPr>
                <w:rFonts w:ascii="Arial" w:cs="Arial" w:eastAsia="Arial" w:hAnsi="Arial"/>
                <w:b/>
                <w:bCs/>
                <w:sz w:val="20"/>
                <w:szCs w:val="20"/>
              </w:rPr>
              <w:t xml:space="preserve">Facility:  </w:t>
            </w:r>
            <w:r>
              <w:rPr>
                <w:rFonts w:ascii="Arial" w:cs="Arial" w:eastAsia="Arial" w:hAnsi="Arial"/>
                <w:sz w:val="20"/>
                <w:szCs w:val="20"/>
              </w:rPr>
              <w:t xml:space="preserve">NexusCare – Main Campus (Renal Care Unit)</w:t>
            </w:r>
          </w:p>
          <w:p>
            <w:pPr>
              <w:spacing w:before="40" w:after="50"/>
            </w:pPr>
            <w:r>
              <w:rPr>
                <w:rFonts w:ascii="Arial" w:cs="Arial" w:eastAsia="Arial" w:hAnsi="Arial"/>
                <w:b/>
                <w:bCs/>
                <w:sz w:val="20"/>
                <w:szCs w:val="20"/>
              </w:rPr>
              <w:t xml:space="preserve">Discharge Condition:  </w:t>
            </w:r>
            <w:r>
              <w:rPr>
                <w:rFonts w:ascii="Arial" w:cs="Arial" w:eastAsia="Arial" w:hAnsi="Arial"/>
                <w:sz w:val="20"/>
                <w:szCs w:val="20"/>
              </w:rPr>
              <w:t xml:space="preserve">Stable. BP 148/90 on discharge. Edema significantly improved. SpO2 97% on room air.</w:t>
            </w:r>
          </w:p>
          <w:p>
            <w:pPr>
              <w:spacing w:before="40" w:after="50"/>
            </w:pPr>
            <w:r>
              <w:rPr>
                <w:rFonts w:ascii="Arial" w:cs="Arial" w:eastAsia="Arial" w:hAnsi="Arial"/>
                <w:b/>
                <w:bCs/>
                <w:sz w:val="20"/>
                <w:szCs w:val="20"/>
              </w:rPr>
              <w:t xml:space="preserve">ICD-10 Codes:  </w:t>
            </w:r>
            <w:r>
              <w:rPr>
                <w:rFonts w:ascii="Arial" w:cs="Arial" w:eastAsia="Arial" w:hAnsi="Arial"/>
                <w:sz w:val="20"/>
                <w:szCs w:val="20"/>
              </w:rPr>
              <w:t xml:space="preserve">N18.3, I10, E11.22, Z87.441</w:t>
            </w:r>
          </w:p>
        </w:tc>
      </w:tr>
    </w:tbl>
    <w:p>
      <w:pPr>
        <w:spacing w:before="200" w:after="0"/>
        <w:jc w:val="left"/>
      </w:pPr>
      <w:r>
        <w:rPr>
          <w:rFonts w:ascii="Arial" w:cs="Arial" w:eastAsia="Arial" w:hAnsi="Arial"/>
          <w:b/>
          <w:bCs/>
          <w:color w:val="1A5276"/>
          <w:sz w:val="20"/>
          <w:szCs w:val="20"/>
        </w:rPr>
        <w:t xml:space="preserve">1. CHIEF COMPLAINT</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Bilateral lower extremity edema, dyspnea on exertion, and decreased urine output over a 5-day period.</w:t>
      </w:r>
    </w:p>
    <w:p>
      <w:pPr>
        <w:spacing w:before="200" w:after="0"/>
        <w:jc w:val="left"/>
      </w:pPr>
      <w:r>
        <w:rPr>
          <w:rFonts w:ascii="Arial" w:cs="Arial" w:eastAsia="Arial" w:hAnsi="Arial"/>
          <w:b/>
          <w:bCs/>
          <w:color w:val="1A5276"/>
          <w:sz w:val="20"/>
          <w:szCs w:val="20"/>
        </w:rPr>
        <w:t xml:space="preserve">2. HISTORY OF PRESENT ILLNESS</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Ms. Lorraine K. Espinoza, a 47-year-old female with a history of uncontrolled hypertension and stage 3 Chronic Kidney Disease (CKD), presented to NexusCare ED on October 24, 2025. She reported progressive bilateral leg swelling, worsening shortness of breath on minimal exertion, and markedly reduced urine output for approximately 5 days. She had not taken her prescribed antihypertensive medications for 12 days due to a refill issue. BP on arrival was 188/112 mmHg.</w:t>
      </w:r>
    </w:p>
    <w:p>
      <w:pPr>
        <w:spacing w:before="200" w:after="0"/>
        <w:jc w:val="left"/>
      </w:pPr>
      <w:r>
        <w:rPr>
          <w:rFonts w:ascii="Arial" w:cs="Arial" w:eastAsia="Arial" w:hAnsi="Arial"/>
          <w:b/>
          <w:bCs/>
          <w:color w:val="1A5276"/>
          <w:sz w:val="20"/>
          <w:szCs w:val="20"/>
        </w:rPr>
        <w:t xml:space="preserve">3. PAST MEDICAL HISTORY / PRE-EXISTING CONDITIONS</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Stage 3 Chronic Kidney Disease (CKD); Uncontrolled Hypertension (HTN); Type 2 Diabetes Mellitus with Nephropathy; History of nephrolithiasis (2019).</w:t>
      </w:r>
    </w:p>
    <w:p>
      <w:pPr>
        <w:spacing w:before="200" w:after="0"/>
        <w:jc w:val="left"/>
      </w:pPr>
      <w:r>
        <w:rPr>
          <w:rFonts w:ascii="Arial" w:cs="Arial" w:eastAsia="Arial" w:hAnsi="Arial"/>
          <w:b/>
          <w:bCs/>
          <w:color w:val="1A5276"/>
          <w:sz w:val="20"/>
          <w:szCs w:val="20"/>
        </w:rPr>
        <w:t xml:space="preserve">4. CURRENT MEDICATIONS ON ADMISSION</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Amlodipine 10mg daily (non-compliant); Lisinopril 20mg daily (non-compliant); Metformin 1000mg twice daily (held on admission); Furosemide 40mg daily (recently prescribed, not yet started).</w:t>
      </w:r>
    </w:p>
    <w:p>
      <w:pPr>
        <w:spacing w:before="200" w:after="0"/>
        <w:jc w:val="left"/>
      </w:pPr>
      <w:r>
        <w:rPr>
          <w:rFonts w:ascii="Arial" w:cs="Arial" w:eastAsia="Arial" w:hAnsi="Arial"/>
          <w:b/>
          <w:bCs/>
          <w:color w:val="1A5276"/>
          <w:sz w:val="20"/>
          <w:szCs w:val="20"/>
        </w:rPr>
        <w:t xml:space="preserve">5. ALLERGIES</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Sulfonamides – Stevens-Johnson Syndrome (Severe). Iodinated contrast dye – Urticaria.</w:t>
      </w:r>
    </w:p>
    <w:p>
      <w:pPr>
        <w:spacing w:before="200" w:after="0"/>
        <w:jc w:val="left"/>
      </w:pPr>
      <w:r>
        <w:rPr>
          <w:rFonts w:ascii="Arial" w:cs="Arial" w:eastAsia="Arial" w:hAnsi="Arial"/>
          <w:b/>
          <w:bCs/>
          <w:color w:val="1A5276"/>
          <w:sz w:val="20"/>
          <w:szCs w:val="20"/>
        </w:rPr>
        <w:t xml:space="preserve">6. PHYSICAL EXAMINATION FINDINGS</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Vital Signs: BP 188/112 mmHg, HR 98 bpm, Temp 36.9°C, SpO2 94% on room air (improved to 98% with supplemental O2 at 2L/min). General: Distressed, mildly dyspneic. Lungs: bibasilar crackles. Extremities: 3+ pitting edema to the knee bilaterally. JVD present.</w:t>
      </w:r>
    </w:p>
    <w:p>
      <w:pPr>
        <w:spacing w:before="200" w:after="0"/>
        <w:jc w:val="left"/>
      </w:pPr>
      <w:r>
        <w:rPr>
          <w:rFonts w:ascii="Arial" w:cs="Arial" w:eastAsia="Arial" w:hAnsi="Arial"/>
          <w:b/>
          <w:bCs/>
          <w:color w:val="1A5276"/>
          <w:sz w:val="20"/>
          <w:szCs w:val="20"/>
        </w:rPr>
        <w:t xml:space="preserve">7. DIAGNOSTIC RESULTS</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BMP: Creatinine 3.1 mg/dL (H), BUN 48 mg/dL (H), eGFR 22 mL/min (H), Potassium 5.6 mEq/L (H). Urinalysis: 3+ protein, 2+ blood. Urine Protein-to-Creatinine Ratio: 3.8 g/g. CBC: Mild normocytic anemia (Hgb 9.4 g/dL). BNP: 820 pg/mL (H).</w:t>
      </w:r>
    </w:p>
    <w:p>
      <w:pPr>
        <w:spacing w:before="60" w:after="60"/>
        <w:jc w:val="left"/>
      </w:pPr>
      <w:r>
        <w:rPr>
          <w:rFonts w:ascii="Arial" w:cs="Arial" w:eastAsia="Arial" w:hAnsi="Arial"/>
          <w:b w:val="false"/>
          <w:bCs w:val="false"/>
          <w:color w:val="000000"/>
          <w:sz w:val="19"/>
          <w:szCs w:val="19"/>
        </w:rPr>
        <w:t xml:space="preserve">Renal Ultrasound (Oct 24): Bilateral echogenic kidneys consistent with chronic kidney disease. No hydronephrosis. No obstructive calculi identified. Chest X-Ray: Mild pulmonary vascular congestion and early interstitial edema.</w:t>
      </w:r>
    </w:p>
    <w:p>
      <w:pPr>
        <w:spacing w:before="200" w:after="0"/>
        <w:jc w:val="left"/>
      </w:pPr>
      <w:r>
        <w:rPr>
          <w:rFonts w:ascii="Arial" w:cs="Arial" w:eastAsia="Arial" w:hAnsi="Arial"/>
          <w:b/>
          <w:bCs/>
          <w:color w:val="1A5276"/>
          <w:sz w:val="20"/>
          <w:szCs w:val="20"/>
        </w:rPr>
        <w:t xml:space="preserve">8. HOSPITAL COURSE &amp; TREATMENT</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Patient was admitted for acute-on-chronic CKD exacerbation in the setting of hypertensive urgency and medication non-compliance. IV Labetalol was titrated to achieve BP control (target &lt;160/100). IV Furosemide 80mg was administered with good diuretic response. Fluid and sodium intake were restricted. Nephrology managed potassium correction and adjusted renal-safe medication regimen. Metformin was held throughout. Social work was consulted to address medication access barriers and insurance coverage for prescriptions.</w:t>
      </w:r>
    </w:p>
    <w:p>
      <w:pPr>
        <w:spacing w:before="200" w:after="0"/>
        <w:jc w:val="left"/>
      </w:pPr>
      <w:r>
        <w:rPr>
          <w:rFonts w:ascii="Arial" w:cs="Arial" w:eastAsia="Arial" w:hAnsi="Arial"/>
          <w:b/>
          <w:bCs/>
          <w:color w:val="1A5276"/>
          <w:sz w:val="20"/>
          <w:szCs w:val="20"/>
        </w:rPr>
        <w:t xml:space="preserve">9. DISCHARGE INSTRUCTIONS</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Resume antihypertensives as prescribed. Begin Furosemide 40mg daily. Restrict sodium intake to &lt;2g/day. Weigh yourself daily — if weight increases &gt;2 lbs overnight, contact your care team. Do NOT restart Metformin until cleared by nephrology.</w:t>
      </w:r>
    </w:p>
    <w:p>
      <w:pPr>
        <w:spacing w:before="200" w:after="0"/>
        <w:jc w:val="left"/>
      </w:pPr>
      <w:r>
        <w:rPr>
          <w:rFonts w:ascii="Arial" w:cs="Arial" w:eastAsia="Arial" w:hAnsi="Arial"/>
          <w:b/>
          <w:bCs/>
          <w:color w:val="1A5276"/>
          <w:sz w:val="20"/>
          <w:szCs w:val="20"/>
        </w:rPr>
        <w:t xml:space="preserve">10. FOLLOW-UP PLAN</w:t>
      </w:r>
    </w:p>
    <w:p>
      <w:pPr>
        <w:pBdr>
          <w:bottom w:val="single" w:color="CCCCCC" w:sz="2" w:space="1"/>
        </w:pBdr>
        <w:spacing w:before="40" w:after="100"/>
      </w:pPr>
    </w:p>
    <w:p>
      <w:pPr>
        <w:spacing w:before="0" w:after="60"/>
        <w:jc w:val="left"/>
      </w:pPr>
      <w:r>
        <w:rPr>
          <w:rFonts w:ascii="Arial" w:cs="Arial" w:eastAsia="Arial" w:hAnsi="Arial"/>
          <w:b w:val="false"/>
          <w:bCs w:val="false"/>
          <w:color w:val="000000"/>
          <w:sz w:val="19"/>
          <w:szCs w:val="19"/>
        </w:rPr>
        <w:t xml:space="preserve">Nephrology follow-up with Dr. Afolabi in 5 days. PCP within 10 days. Renal dietitian consult scheduled. Recheck BMP in 1 week.</w:t>
      </w:r>
    </w:p>
    <w:p>
      <w:pPr>
        <w:spacing w:before="160" w:after="0"/>
      </w:pPr>
      <w:r>
        <w:t xml:space="preserve"/>
      </w:r>
    </w:p>
    <w:p>
      <w:pPr>
        <w:pBdr>
          <w:bottom w:val="single" w:color="1A5276" w:sz="6" w:space="1"/>
        </w:pBdr>
        <w:spacing w:before="40" w:after="120"/>
      </w:pPr>
    </w:p>
    <w:p>
      <w:pPr>
        <w:spacing w:before="0" w:after="80"/>
        <w:jc w:val="center"/>
      </w:pPr>
      <w:r>
        <w:rPr>
          <w:rFonts w:ascii="Arial" w:cs="Arial" w:eastAsia="Arial" w:hAnsi="Arial"/>
          <w:b w:val="false"/>
          <w:bCs w:val="false"/>
          <w:color w:val="888888"/>
          <w:sz w:val="16"/>
          <w:szCs w:val="16"/>
        </w:rPr>
        <w:t xml:space="preserve">NexusCare Health Systems  |  Riverside Medical Pavilion, 4820 Lakewood Blvd, Suite 300, Houston, TX 77056</w:t>
      </w:r>
    </w:p>
    <w:p>
      <w:pPr>
        <w:spacing w:before="40" w:after="0"/>
        <w:jc w:val="center"/>
      </w:pPr>
      <w:r>
        <w:rPr>
          <w:rFonts w:ascii="Arial" w:cs="Arial" w:eastAsia="Arial" w:hAnsi="Arial"/>
          <w:b w:val="false"/>
          <w:bCs w:val="false"/>
          <w:color w:val="888888"/>
          <w:sz w:val="16"/>
          <w:szCs w:val="16"/>
        </w:rPr>
        <w:t xml:space="preserve">CONFIDENTIAL MEDICAL RECORD — Unauthorized disclosure is prohibited by law. HIPAA Compliant.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2026-03-25T12:20:02.933Z</dcterms:created>
  <dcterms:modified xsi:type="dcterms:W3CDTF">2026-03-25T12:20:02.933Z</dcterms:modified>
</cp:coreProperties>
</file>

<file path=docProps/custom.xml><?xml version="1.0" encoding="utf-8"?>
<Properties xmlns="http://schemas.openxmlformats.org/officeDocument/2006/custom-properties" xmlns:vt="http://schemas.openxmlformats.org/officeDocument/2006/docPropsVTypes"/>
</file>