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tcMar>
              <w:top w:type="dxa" w:w="0"/>
              <w:left w:type="dxa" w:w="0"/>
              <w:bottom w:type="dxa" w:w="0"/>
              <w:right w:type="dxa" w:w="200"/>
            </w:tcMar>
          </w:tcPr>
          <w:p>
            <w:pPr>
              <w:spacing w:before="0" w:after="80"/>
              <w:jc w:val="left"/>
            </w:pPr>
            <w:r>
              <w:rPr>
                <w:rFonts w:ascii="Arial" w:cs="Arial" w:eastAsia="Arial" w:hAnsi="Arial"/>
                <w:b/>
                <w:bCs/>
                <w:color w:val="1A5276"/>
                <w:sz w:val="52"/>
                <w:szCs w:val="52"/>
              </w:rPr>
              <w:t xml:space="preserve">NexusCare</w:t>
            </w:r>
          </w:p>
          <w:p>
            <w:pPr>
              <w:spacing w:before="0" w:after="60"/>
              <w:jc w:val="left"/>
            </w:pPr>
            <w:r>
              <w:rPr>
                <w:rFonts w:ascii="Arial" w:cs="Arial" w:eastAsia="Arial" w:hAnsi="Arial"/>
                <w:b/>
                <w:bCs/>
                <w:color w:val="2E86C1"/>
                <w:sz w:val="22"/>
                <w:szCs w:val="22"/>
              </w:rPr>
              <w:t xml:space="preserve">HEALTH SYSTEMS</w:t>
            </w:r>
          </w:p>
          <w:p>
            <w:pPr>
              <w:spacing w:before="0" w:after="20"/>
              <w:jc w:val="left"/>
            </w:pPr>
            <w:r>
              <w:rPr>
                <w:rFonts w:ascii="Arial" w:cs="Arial" w:eastAsia="Arial" w:hAnsi="Arial"/>
                <w:b w:val="false"/>
                <w:bCs w:val="false"/>
                <w:color w:val="555555"/>
                <w:sz w:val="18"/>
                <w:szCs w:val="18"/>
              </w:rPr>
              <w:t xml:space="preserve">Riverside Medical Pavilion, 4820 Lakewood Blvd, Suite 300</w:t>
            </w:r>
          </w:p>
          <w:p>
            <w:pPr>
              <w:spacing w:before="0" w:after="20"/>
              <w:jc w:val="left"/>
            </w:pPr>
            <w:r>
              <w:rPr>
                <w:rFonts w:ascii="Arial" w:cs="Arial" w:eastAsia="Arial" w:hAnsi="Arial"/>
                <w:b w:val="false"/>
                <w:bCs w:val="false"/>
                <w:color w:val="555555"/>
                <w:sz w:val="18"/>
                <w:szCs w:val="18"/>
              </w:rPr>
              <w:t xml:space="preserve">Houston, TX 77056  |  Tel: (713) 480-9200</w:t>
            </w:r>
          </w:p>
          <w:p>
            <w:pPr>
              <w:spacing w:before="0" w:after="80"/>
              <w:jc w:val="left"/>
            </w:pPr>
            <w:r>
              <w:rPr>
                <w:rFonts w:ascii="Arial" w:cs="Arial" w:eastAsia="Arial" w:hAnsi="Arial"/>
                <w:b w:val="false"/>
                <w:bCs w:val="false"/>
                <w:color w:val="555555"/>
                <w:sz w:val="18"/>
                <w:szCs w:val="18"/>
              </w:rPr>
              <w:t xml:space="preserve">records@nexuscarehealthsystems.com  |  www.nexuscarehealthsystems.com</w:t>
            </w:r>
          </w:p>
        </w:tc>
        <w:tc>
          <w:tcPr>
            <w:tcW w:type="dxa" w:w="4080"/>
            <w:tcBorders>
              <w:top w:val="none" w:color="FFFFFF" w:sz="0"/>
              <w:left w:val="none" w:color="FFFFFF" w:sz="0"/>
              <w:bottom w:val="none" w:color="FFFFFF" w:sz="0"/>
              <w:right w:val="none" w:color="FFFFFF" w:sz="0"/>
            </w:tcBorders>
            <w:tcMar>
              <w:top w:type="dxa" w:w="0"/>
              <w:left w:type="dxa" w:w="200"/>
              <w:bottom w:type="dxa" w:w="0"/>
              <w:right w:type="dxa" w:w="0"/>
            </w:tcMar>
            <w:vAlign w:val="top"/>
          </w:tcPr>
          <w:p>
            <w:pPr>
              <w:spacing w:before="0" w:after="80"/>
              <w:jc w:val="right"/>
            </w:pPr>
            <w:r>
              <w:rPr>
                <w:rFonts w:ascii="Arial" w:cs="Arial" w:eastAsia="Arial" w:hAnsi="Arial"/>
                <w:b/>
                <w:bCs/>
                <w:color w:val="1A5276"/>
                <w:sz w:val="26"/>
                <w:szCs w:val="26"/>
              </w:rPr>
              <w:t xml:space="preserve">DISCHARGE SUMMARY</w:t>
            </w:r>
          </w:p>
          <w:p>
            <w:pPr>
              <w:spacing w:before="80" w:after="0"/>
              <w:jc w:val="right"/>
            </w:pPr>
            <w:r>
              <w:rPr>
                <w:rFonts w:ascii="Arial" w:cs="Arial" w:eastAsia="Arial" w:hAnsi="Arial"/>
                <w:b w:val="false"/>
                <w:bCs w:val="false"/>
                <w:color w:val="333333"/>
                <w:sz w:val="18"/>
                <w:szCs w:val="18"/>
              </w:rPr>
              <w:t xml:space="preserve">Document No:  NXC-DS-2025-039477</w:t>
            </w:r>
          </w:p>
          <w:p>
            <w:pPr>
              <w:spacing w:before="40" w:after="0"/>
              <w:jc w:val="right"/>
            </w:pPr>
            <w:r>
              <w:rPr>
                <w:rFonts w:ascii="Arial" w:cs="Arial" w:eastAsia="Arial" w:hAnsi="Arial"/>
                <w:b w:val="false"/>
                <w:bCs w:val="false"/>
                <w:color w:val="333333"/>
                <w:sz w:val="18"/>
                <w:szCs w:val="18"/>
              </w:rPr>
              <w:t xml:space="preserve">Date Issued:  November 11, 2025</w:t>
            </w:r>
          </w:p>
          <w:p>
            <w:pPr>
              <w:spacing w:before="40" w:after="0"/>
              <w:jc w:val="right"/>
            </w:pPr>
            <w:r>
              <w:rPr>
                <w:rFonts w:ascii="Arial" w:cs="Arial" w:eastAsia="Arial" w:hAnsi="Arial"/>
                <w:b w:val="false"/>
                <w:bCs w:val="false"/>
                <w:color w:val="333333"/>
                <w:sz w:val="18"/>
                <w:szCs w:val="18"/>
              </w:rPr>
              <w:t xml:space="preserve">Admission:  November 5, 2025</w:t>
            </w:r>
          </w:p>
          <w:p>
            <w:pPr>
              <w:spacing w:before="40" w:after="0"/>
              <w:jc w:val="right"/>
            </w:pPr>
            <w:r>
              <w:rPr>
                <w:rFonts w:ascii="Arial" w:cs="Arial" w:eastAsia="Arial" w:hAnsi="Arial"/>
                <w:b w:val="false"/>
                <w:bCs w:val="false"/>
                <w:color w:val="333333"/>
                <w:sz w:val="18"/>
                <w:szCs w:val="18"/>
              </w:rPr>
              <w:t xml:space="preserve">Discharge:  November 11, 2025</w:t>
            </w:r>
          </w:p>
        </w:tc>
      </w:tr>
    </w:tbl>
    <w:p>
      <w:pPr>
        <w:pBdr>
          <w:bottom w:val="single" w:color="1A5276" w:sz="6" w:space="1"/>
        </w:pBdr>
        <w:spacing w:before="40"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20"/>
        <w:gridCol w:w="240"/>
        <w:gridCol w:w="4920"/>
      </w:tblGrid>
      <w:tr>
        <w:tc>
          <w:tcPr>
            <w:tcW w:type="dxa" w:w="4920"/>
            <w:tcBorders>
              <w:top w:val="single" w:color="1A5276" w:sz="4"/>
              <w:left w:val="none" w:color="FFFFFF" w:sz="0"/>
              <w:bottom w:val="none" w:color="FFFFFF" w:sz="0"/>
              <w:right w:val="none" w:color="FFFFFF" w:sz="0"/>
            </w:tcBorders>
            <w:tcMar>
              <w:top w:type="dxa" w:w="120"/>
              <w:left w:type="dxa" w:w="0"/>
              <w:bottom w:type="dxa" w:w="80"/>
              <w:right w:type="dxa" w:w="80"/>
            </w:tcMar>
          </w:tcPr>
          <w:p>
            <w:pPr>
              <w:spacing w:before="0" w:after="80"/>
              <w:jc w:val="left"/>
            </w:pPr>
            <w:r>
              <w:rPr>
                <w:rFonts w:ascii="Arial" w:cs="Arial" w:eastAsia="Arial" w:hAnsi="Arial"/>
                <w:b/>
                <w:bCs/>
                <w:color w:val="1A5276"/>
                <w:sz w:val="18"/>
                <w:szCs w:val="18"/>
              </w:rPr>
              <w:t xml:space="preserve">PATIENT INFORMATION</w:t>
            </w:r>
          </w:p>
          <w:p>
            <w:pPr>
              <w:spacing w:before="60" w:after="0"/>
            </w:pPr>
            <w:r>
              <w:t xml:space="preserve"/>
            </w:r>
          </w:p>
          <w:p>
            <w:pPr>
              <w:spacing w:before="40" w:after="50"/>
            </w:pPr>
            <w:r>
              <w:rPr>
                <w:rFonts w:ascii="Arial" w:cs="Arial" w:eastAsia="Arial" w:hAnsi="Arial"/>
                <w:b/>
                <w:bCs/>
                <w:sz w:val="20"/>
                <w:szCs w:val="20"/>
              </w:rPr>
              <w:t xml:space="preserve">Patient Name:  </w:t>
            </w:r>
            <w:r>
              <w:rPr>
                <w:rFonts w:ascii="Arial" w:cs="Arial" w:eastAsia="Arial" w:hAnsi="Arial"/>
                <w:sz w:val="20"/>
                <w:szCs w:val="20"/>
              </w:rPr>
              <w:t xml:space="preserve">Gloria N. Thornton</w:t>
            </w:r>
          </w:p>
          <w:p>
            <w:pPr>
              <w:spacing w:before="40" w:after="50"/>
            </w:pPr>
            <w:r>
              <w:rPr>
                <w:rFonts w:ascii="Arial" w:cs="Arial" w:eastAsia="Arial" w:hAnsi="Arial"/>
                <w:b/>
                <w:bCs/>
                <w:sz w:val="20"/>
                <w:szCs w:val="20"/>
              </w:rPr>
              <w:t xml:space="preserve">Date of Birth:  </w:t>
            </w:r>
            <w:r>
              <w:rPr>
                <w:rFonts w:ascii="Arial" w:cs="Arial" w:eastAsia="Arial" w:hAnsi="Arial"/>
                <w:sz w:val="20"/>
                <w:szCs w:val="20"/>
              </w:rPr>
              <w:t xml:space="preserve">January 25, 1965  (Age: 60)</w:t>
            </w:r>
          </w:p>
          <w:p>
            <w:pPr>
              <w:spacing w:before="40" w:after="50"/>
            </w:pPr>
            <w:r>
              <w:rPr>
                <w:rFonts w:ascii="Arial" w:cs="Arial" w:eastAsia="Arial" w:hAnsi="Arial"/>
                <w:b/>
                <w:bCs/>
                <w:sz w:val="20"/>
                <w:szCs w:val="20"/>
              </w:rPr>
              <w:t xml:space="preserve">Gender:  </w:t>
            </w:r>
            <w:r>
              <w:rPr>
                <w:rFonts w:ascii="Arial" w:cs="Arial" w:eastAsia="Arial" w:hAnsi="Arial"/>
                <w:sz w:val="20"/>
                <w:szCs w:val="20"/>
              </w:rPr>
              <w:t xml:space="preserve">Female</w:t>
            </w:r>
          </w:p>
          <w:p>
            <w:pPr>
              <w:spacing w:before="40" w:after="50"/>
            </w:pPr>
            <w:r>
              <w:rPr>
                <w:rFonts w:ascii="Arial" w:cs="Arial" w:eastAsia="Arial" w:hAnsi="Arial"/>
                <w:b/>
                <w:bCs/>
                <w:sz w:val="20"/>
                <w:szCs w:val="20"/>
              </w:rPr>
              <w:t xml:space="preserve">MRN:  </w:t>
            </w:r>
            <w:r>
              <w:rPr>
                <w:rFonts w:ascii="Arial" w:cs="Arial" w:eastAsia="Arial" w:hAnsi="Arial"/>
                <w:sz w:val="20"/>
                <w:szCs w:val="20"/>
              </w:rPr>
              <w:t xml:space="preserve">MRN-1120-HOU</w:t>
            </w:r>
          </w:p>
          <w:p>
            <w:pPr>
              <w:spacing w:before="40" w:after="50"/>
            </w:pPr>
            <w:r>
              <w:rPr>
                <w:rFonts w:ascii="Arial" w:cs="Arial" w:eastAsia="Arial" w:hAnsi="Arial"/>
                <w:b/>
                <w:bCs/>
                <w:sz w:val="20"/>
                <w:szCs w:val="20"/>
              </w:rPr>
              <w:t xml:space="preserve">Address:  </w:t>
            </w:r>
            <w:r>
              <w:rPr>
                <w:rFonts w:ascii="Arial" w:cs="Arial" w:eastAsia="Arial" w:hAnsi="Arial"/>
                <w:sz w:val="20"/>
                <w:szCs w:val="20"/>
              </w:rPr>
              <w:t xml:space="preserve">222 River Oaks Blvd, Houston, TX 77019</w:t>
            </w:r>
          </w:p>
        </w:tc>
        <w:tc>
          <w:tcPr>
            <w:tcW w:type="dxa" w:w="240"/>
            <w:tcBorders>
              <w:top w:val="none" w:color="FFFFFF" w:sz="0"/>
              <w:left w:val="none" w:color="FFFFFF" w:sz="0"/>
              <w:bottom w:val="none" w:color="FFFFFF" w:sz="0"/>
              <w:right w:val="none" w:color="FFFFFF" w:sz="0"/>
            </w:tcBorders>
          </w:tcPr>
          <w:p>
            <w:pPr>
              <w:spacing w:before="0" w:after="80"/>
              <w:jc w:val="left"/>
            </w:pPr>
            <w:r>
              <w:rPr>
                <w:rFonts w:ascii="Arial" w:cs="Arial" w:eastAsia="Arial" w:hAnsi="Arial"/>
                <w:b w:val="false"/>
                <w:bCs w:val="false"/>
                <w:color w:val="000000"/>
                <w:sz w:val="20"/>
                <w:szCs w:val="20"/>
              </w:rPr>
              <w:t xml:space="preserve"/>
            </w:r>
          </w:p>
        </w:tc>
        <w:tc>
          <w:tcPr>
            <w:tcW w:type="dxa" w:w="4920"/>
            <w:tcBorders>
              <w:top w:val="single" w:color="1A5276" w:sz="4"/>
              <w:left w:val="none" w:color="FFFFFF" w:sz="0"/>
              <w:bottom w:val="none" w:color="FFFFFF" w:sz="0"/>
              <w:right w:val="none" w:color="FFFFFF" w:sz="0"/>
            </w:tcBorders>
            <w:tcMar>
              <w:top w:type="dxa" w:w="120"/>
              <w:left w:type="dxa" w:w="80"/>
              <w:bottom w:type="dxa" w:w="80"/>
              <w:right w:type="dxa" w:w="0"/>
            </w:tcMar>
          </w:tcPr>
          <w:p>
            <w:pPr>
              <w:spacing w:before="0" w:after="80"/>
              <w:jc w:val="left"/>
            </w:pPr>
            <w:r>
              <w:rPr>
                <w:rFonts w:ascii="Arial" w:cs="Arial" w:eastAsia="Arial" w:hAnsi="Arial"/>
                <w:b/>
                <w:bCs/>
                <w:color w:val="1A5276"/>
                <w:sz w:val="18"/>
                <w:szCs w:val="18"/>
              </w:rPr>
              <w:t xml:space="preserve">CLINICAL INFORMATION</w:t>
            </w:r>
          </w:p>
          <w:p>
            <w:pPr>
              <w:spacing w:before="60" w:after="0"/>
            </w:pPr>
            <w:r>
              <w:t xml:space="preserve"/>
            </w:r>
          </w:p>
          <w:p>
            <w:pPr>
              <w:spacing w:before="40" w:after="50"/>
            </w:pPr>
            <w:r>
              <w:rPr>
                <w:rFonts w:ascii="Arial" w:cs="Arial" w:eastAsia="Arial" w:hAnsi="Arial"/>
                <w:b/>
                <w:bCs/>
                <w:sz w:val="20"/>
                <w:szCs w:val="20"/>
              </w:rPr>
              <w:t xml:space="preserve">Attending Physician:  </w:t>
            </w:r>
            <w:r>
              <w:rPr>
                <w:rFonts w:ascii="Arial" w:cs="Arial" w:eastAsia="Arial" w:hAnsi="Arial"/>
                <w:sz w:val="20"/>
                <w:szCs w:val="20"/>
              </w:rPr>
              <w:t xml:space="preserve">Dr. Emmanuel Osei, MD – Cardiology</w:t>
            </w:r>
          </w:p>
          <w:p>
            <w:pPr>
              <w:spacing w:before="40" w:after="50"/>
            </w:pPr>
            <w:r>
              <w:rPr>
                <w:rFonts w:ascii="Arial" w:cs="Arial" w:eastAsia="Arial" w:hAnsi="Arial"/>
                <w:b/>
                <w:bCs/>
                <w:sz w:val="20"/>
                <w:szCs w:val="20"/>
              </w:rPr>
              <w:t xml:space="preserve">NPI:  </w:t>
            </w:r>
            <w:r>
              <w:rPr>
                <w:rFonts w:ascii="Arial" w:cs="Arial" w:eastAsia="Arial" w:hAnsi="Arial"/>
                <w:sz w:val="20"/>
                <w:szCs w:val="20"/>
              </w:rPr>
              <w:t xml:space="preserve">1812034950</w:t>
            </w:r>
          </w:p>
          <w:p>
            <w:pPr>
              <w:spacing w:before="40" w:after="50"/>
            </w:pPr>
            <w:r>
              <w:rPr>
                <w:rFonts w:ascii="Arial" w:cs="Arial" w:eastAsia="Arial" w:hAnsi="Arial"/>
                <w:b/>
                <w:bCs/>
                <w:sz w:val="20"/>
                <w:szCs w:val="20"/>
              </w:rPr>
              <w:t xml:space="preserve">Facility:  </w:t>
            </w:r>
            <w:r>
              <w:rPr>
                <w:rFonts w:ascii="Arial" w:cs="Arial" w:eastAsia="Arial" w:hAnsi="Arial"/>
                <w:sz w:val="20"/>
                <w:szCs w:val="20"/>
              </w:rPr>
              <w:t xml:space="preserve">NexusCare – Main Campus (Coronary Care Unit)</w:t>
            </w:r>
          </w:p>
          <w:p>
            <w:pPr>
              <w:spacing w:before="40" w:after="50"/>
            </w:pPr>
            <w:r>
              <w:rPr>
                <w:rFonts w:ascii="Arial" w:cs="Arial" w:eastAsia="Arial" w:hAnsi="Arial"/>
                <w:b/>
                <w:bCs/>
                <w:sz w:val="20"/>
                <w:szCs w:val="20"/>
              </w:rPr>
              <w:t xml:space="preserve">Discharge Condition:  </w:t>
            </w:r>
            <w:r>
              <w:rPr>
                <w:rFonts w:ascii="Arial" w:cs="Arial" w:eastAsia="Arial" w:hAnsi="Arial"/>
                <w:sz w:val="20"/>
                <w:szCs w:val="20"/>
              </w:rPr>
              <w:t xml:space="preserve">Stable. Hemodynamically stable post-PCI. EF 42% – cardiology monitoring plan in place.</w:t>
            </w:r>
          </w:p>
          <w:p>
            <w:pPr>
              <w:spacing w:before="40" w:after="50"/>
            </w:pPr>
            <w:r>
              <w:rPr>
                <w:rFonts w:ascii="Arial" w:cs="Arial" w:eastAsia="Arial" w:hAnsi="Arial"/>
                <w:b/>
                <w:bCs/>
                <w:sz w:val="20"/>
                <w:szCs w:val="20"/>
              </w:rPr>
              <w:t xml:space="preserve">ICD-10 Codes:  </w:t>
            </w:r>
            <w:r>
              <w:rPr>
                <w:rFonts w:ascii="Arial" w:cs="Arial" w:eastAsia="Arial" w:hAnsi="Arial"/>
                <w:sz w:val="20"/>
                <w:szCs w:val="20"/>
              </w:rPr>
              <w:t xml:space="preserve">I25.10, I21.4, E78.5, I10</w:t>
            </w:r>
          </w:p>
        </w:tc>
      </w:tr>
    </w:tbl>
    <w:p>
      <w:pPr>
        <w:spacing w:before="200" w:after="0"/>
        <w:jc w:val="left"/>
      </w:pPr>
      <w:r>
        <w:rPr>
          <w:rFonts w:ascii="Arial" w:cs="Arial" w:eastAsia="Arial" w:hAnsi="Arial"/>
          <w:b/>
          <w:bCs/>
          <w:color w:val="1A5276"/>
          <w:sz w:val="20"/>
          <w:szCs w:val="20"/>
        </w:rPr>
        <w:t xml:space="preserve">1. CHIEF COMPLAINT</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Acute onset central chest pressure radiating to the left arm, diaphoresis, and nausea lasting 45 minutes, not resolved with rest.</w:t>
      </w:r>
    </w:p>
    <w:p>
      <w:pPr>
        <w:spacing w:before="200" w:after="0"/>
        <w:jc w:val="left"/>
      </w:pPr>
      <w:r>
        <w:rPr>
          <w:rFonts w:ascii="Arial" w:cs="Arial" w:eastAsia="Arial" w:hAnsi="Arial"/>
          <w:b/>
          <w:bCs/>
          <w:color w:val="1A5276"/>
          <w:sz w:val="20"/>
          <w:szCs w:val="20"/>
        </w:rPr>
        <w:t xml:space="preserve">2. HISTORY OF PRESENT ILLNESS</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Ms. Gloria N. Thornton, a 60-year-old female with a history of stable angina, hyperlipidemia, and hypertension, presented to NexusCare ED on November 5, 2025 via ambulance. She reported acute onset central chest pressure (8/10), radiating to the left arm and jaw, associated with diaphoresis and nausea beginning approximately 45 minutes prior. Symptoms were not relieved by rest or her prescribed sublingual nitroglycerin (2 doses taken at home). ECG on arrival revealed ST-elevation in leads V1–V4.</w:t>
      </w:r>
    </w:p>
    <w:p>
      <w:pPr>
        <w:spacing w:before="200" w:after="0"/>
        <w:jc w:val="left"/>
      </w:pPr>
      <w:r>
        <w:rPr>
          <w:rFonts w:ascii="Arial" w:cs="Arial" w:eastAsia="Arial" w:hAnsi="Arial"/>
          <w:b/>
          <w:bCs/>
          <w:color w:val="1A5276"/>
          <w:sz w:val="20"/>
          <w:szCs w:val="20"/>
        </w:rPr>
        <w:t xml:space="preserve">3. PAST MEDICAL HISTORY / PRE-EXISTING CONDITIONS</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Stable Angina (4-year history); Hyperlipidemia (LDL persistently elevated); Hypertension; Family History of CAD (father, MI at 58); Post-menopausal.</w:t>
      </w:r>
    </w:p>
    <w:p>
      <w:pPr>
        <w:spacing w:before="200" w:after="0"/>
        <w:jc w:val="left"/>
      </w:pPr>
      <w:r>
        <w:rPr>
          <w:rFonts w:ascii="Arial" w:cs="Arial" w:eastAsia="Arial" w:hAnsi="Arial"/>
          <w:b/>
          <w:bCs/>
          <w:color w:val="1A5276"/>
          <w:sz w:val="20"/>
          <w:szCs w:val="20"/>
        </w:rPr>
        <w:t xml:space="preserve">4. CURRENT MEDICATIONS ON ADMISSION</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Atorvastatin 40mg daily; Metoprolol Succinate 50mg daily; Aspirin 81mg daily; Sublingual Nitroglycerin PRN; Lisinopril 10mg daily.</w:t>
      </w:r>
    </w:p>
    <w:p>
      <w:pPr>
        <w:spacing w:before="200" w:after="0"/>
        <w:jc w:val="left"/>
      </w:pPr>
      <w:r>
        <w:rPr>
          <w:rFonts w:ascii="Arial" w:cs="Arial" w:eastAsia="Arial" w:hAnsi="Arial"/>
          <w:b/>
          <w:bCs/>
          <w:color w:val="1A5276"/>
          <w:sz w:val="20"/>
          <w:szCs w:val="20"/>
        </w:rPr>
        <w:t xml:space="preserve">5. ALLERGIES</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Clopidogrel – Gastrointestinal Intolerance (Moderate). No known drug allergies of clinical significance.</w:t>
      </w:r>
    </w:p>
    <w:p>
      <w:pPr>
        <w:spacing w:before="200" w:after="0"/>
        <w:jc w:val="left"/>
      </w:pPr>
      <w:r>
        <w:rPr>
          <w:rFonts w:ascii="Arial" w:cs="Arial" w:eastAsia="Arial" w:hAnsi="Arial"/>
          <w:b/>
          <w:bCs/>
          <w:color w:val="1A5276"/>
          <w:sz w:val="20"/>
          <w:szCs w:val="20"/>
        </w:rPr>
        <w:t xml:space="preserve">6. PHYSICAL EXAMINATION FINDINGS</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Vital Signs: BP 158/94 mmHg, HR 88 bpm, Temp 36.8°C, SpO2 96% on room air. General: Anxious, diaphoretic. Skin: pale and clammy. Heart: S1 S2 present, no murmurs. Lungs: clear to auscultation bilaterally. Abdomen: soft, non-tender. Peripheral pulses: present and symmetric.</w:t>
      </w:r>
    </w:p>
    <w:p>
      <w:pPr>
        <w:spacing w:before="200" w:after="0"/>
        <w:jc w:val="left"/>
      </w:pPr>
      <w:r>
        <w:rPr>
          <w:rFonts w:ascii="Arial" w:cs="Arial" w:eastAsia="Arial" w:hAnsi="Arial"/>
          <w:b/>
          <w:bCs/>
          <w:color w:val="1A5276"/>
          <w:sz w:val="20"/>
          <w:szCs w:val="20"/>
        </w:rPr>
        <w:t xml:space="preserve">7. DIAGNOSTIC RESULTS</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Troponin I (Admission): 4.8 ng/mL (H – significantly elevated). Troponin I (6h): 18.4 ng/mL (H – rising). CK-MB: 88 U/L (H). BMP: Glucose 148 mg/dL, Creatinine 1.0 mg/dL (normal), Potassium 4.1 mEq/L. Lipid Panel (Oct 28, recent): Total Cholesterol 242 mg/dL, LDL 168 mg/dL (H), HDL 41 mg/dL (L).</w:t>
      </w:r>
    </w:p>
    <w:p>
      <w:pPr>
        <w:spacing w:before="60" w:after="60"/>
        <w:jc w:val="left"/>
      </w:pPr>
      <w:r>
        <w:rPr>
          <w:rFonts w:ascii="Arial" w:cs="Arial" w:eastAsia="Arial" w:hAnsi="Arial"/>
          <w:b w:val="false"/>
          <w:bCs w:val="false"/>
          <w:color w:val="000000"/>
          <w:sz w:val="19"/>
          <w:szCs w:val="19"/>
        </w:rPr>
        <w:t xml:space="preserve">ECG (Admission): ST-elevation in V1-V4 consistent with anterior STEMI. Echocardiogram (Post-PCI, Nov 6): EF 42% (mildly reduced from estimated 55% prior). Anterior wall hypokinesis. No significant valvular disease.</w:t>
      </w:r>
    </w:p>
    <w:p>
      <w:pPr>
        <w:spacing w:before="200" w:after="0"/>
        <w:jc w:val="left"/>
      </w:pPr>
      <w:r>
        <w:rPr>
          <w:rFonts w:ascii="Arial" w:cs="Arial" w:eastAsia="Arial" w:hAnsi="Arial"/>
          <w:b/>
          <w:bCs/>
          <w:color w:val="1A5276"/>
          <w:sz w:val="20"/>
          <w:szCs w:val="20"/>
        </w:rPr>
        <w:t xml:space="preserve">8. HOSPITAL COURSE &amp; TREATMENT</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Patient was immediately transferred to the catheterization lab following STEMI protocol activation. Emergency PCI was performed with placement of a drug-eluting stent to the LAD (proximal segment). TIMI 3 flow restored. Patient was transferred to the CCU post-procedure. IV Heparin anticoagulation continued for 24 hours. Aspirin and Ticagrelor dual antiplatelet therapy initiated. IV beta-blockade transitioned to oral. Cardiac rehabilitation consult placed. Serial ECGs and troponin levels obtained. Atorvastatin dose escalated to 80mg daily. Patient remained hemodynamically stable throughout. Nursing education on STEMI recovery and risk factor modification provided.</w:t>
      </w:r>
    </w:p>
    <w:p>
      <w:pPr>
        <w:spacing w:before="200" w:after="0"/>
        <w:jc w:val="left"/>
      </w:pPr>
      <w:r>
        <w:rPr>
          <w:rFonts w:ascii="Arial" w:cs="Arial" w:eastAsia="Arial" w:hAnsi="Arial"/>
          <w:b/>
          <w:bCs/>
          <w:color w:val="1A5276"/>
          <w:sz w:val="20"/>
          <w:szCs w:val="20"/>
        </w:rPr>
        <w:t xml:space="preserve">9. DISCHARGE INSTRUCTIONS</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Take Aspirin 81mg daily indefinitely. Take Ticagrelor 90mg twice daily – do NOT stop without consulting cardiologist. Take Atorvastatin 80mg daily. Take Metoprolol Succinate 50mg daily. Weigh yourself daily. Activity restriction: no driving for 1 week, no strenuous activity for 4 weeks. Call 911 if chest pain recurs.</w:t>
      </w:r>
    </w:p>
    <w:p>
      <w:pPr>
        <w:spacing w:before="200" w:after="0"/>
        <w:jc w:val="left"/>
      </w:pPr>
      <w:r>
        <w:rPr>
          <w:rFonts w:ascii="Arial" w:cs="Arial" w:eastAsia="Arial" w:hAnsi="Arial"/>
          <w:b/>
          <w:bCs/>
          <w:color w:val="1A5276"/>
          <w:sz w:val="20"/>
          <w:szCs w:val="20"/>
        </w:rPr>
        <w:t xml:space="preserve">10. FOLLOW-UP PLAN</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Cardiology follow-up with Dr. Osei in 5 days. Cardiac Rehabilitation Program enrollment within 2 weeks. Echocardiogram to be repeated at 6-week visit. PCP notification sent.</w:t>
      </w:r>
    </w:p>
    <w:p>
      <w:pPr>
        <w:spacing w:before="160" w:after="0"/>
      </w:pPr>
      <w:r>
        <w:t xml:space="preserve"/>
      </w:r>
    </w:p>
    <w:p>
      <w:pPr>
        <w:pBdr>
          <w:bottom w:val="single" w:color="1A5276" w:sz="6" w:space="1"/>
        </w:pBdr>
        <w:spacing w:before="40" w:after="120"/>
      </w:pPr>
    </w:p>
    <w:p>
      <w:pPr>
        <w:spacing w:before="0" w:after="80"/>
        <w:jc w:val="center"/>
      </w:pPr>
      <w:r>
        <w:rPr>
          <w:rFonts w:ascii="Arial" w:cs="Arial" w:eastAsia="Arial" w:hAnsi="Arial"/>
          <w:b w:val="false"/>
          <w:bCs w:val="false"/>
          <w:color w:val="888888"/>
          <w:sz w:val="16"/>
          <w:szCs w:val="16"/>
        </w:rPr>
        <w:t xml:space="preserve">NexusCare Health Systems  |  Riverside Medical Pavilion, 4820 Lakewood Blvd, Suite 300, Houston, TX 77056</w:t>
      </w:r>
    </w:p>
    <w:p>
      <w:pPr>
        <w:spacing w:before="40" w:after="0"/>
        <w:jc w:val="center"/>
      </w:pPr>
      <w:r>
        <w:rPr>
          <w:rFonts w:ascii="Arial" w:cs="Arial" w:eastAsia="Arial" w:hAnsi="Arial"/>
          <w:b w:val="false"/>
          <w:bCs w:val="false"/>
          <w:color w:val="888888"/>
          <w:sz w:val="16"/>
          <w:szCs w:val="16"/>
        </w:rPr>
        <w:t xml:space="preserve">CONFIDENTIAL MEDICAL RECORD — Unauthorized disclosure is prohibited by law. HIPAA Compliant.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2026-03-25T12:20:02.938Z</dcterms:created>
  <dcterms:modified xsi:type="dcterms:W3CDTF">2026-03-25T12:20:02.939Z</dcterms:modified>
</cp:coreProperties>
</file>

<file path=docProps/custom.xml><?xml version="1.0" encoding="utf-8"?>
<Properties xmlns="http://schemas.openxmlformats.org/officeDocument/2006/custom-properties" xmlns:vt="http://schemas.openxmlformats.org/officeDocument/2006/docPropsVTypes"/>
</file>