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jc w:val="left"/>
            </w:pPr>
            <w:r>
              <w:rPr>
                <w:rFonts w:ascii="Arial" w:cs="Arial" w:eastAsia="Arial" w:hAnsi="Arial"/>
                <w:b/>
                <w:bCs/>
                <w:color w:val="1A5276"/>
                <w:sz w:val="52"/>
                <w:szCs w:val="52"/>
              </w:rPr>
              <w:t xml:space="preserve">NexusCare</w:t>
            </w:r>
          </w:p>
          <w:p>
            <w:pPr>
              <w:spacing w:before="0" w:after="60"/>
              <w:jc w:val="left"/>
            </w:pPr>
            <w:r>
              <w:rPr>
                <w:rFonts w:ascii="Arial" w:cs="Arial" w:eastAsia="Arial" w:hAnsi="Arial"/>
                <w:b/>
                <w:bCs/>
                <w:color w:val="2E86C1"/>
                <w:sz w:val="22"/>
                <w:szCs w:val="22"/>
              </w:rPr>
              <w:t xml:space="preserve">HEALTH SYSTEMS</w:t>
            </w:r>
          </w:p>
          <w:p>
            <w:pPr>
              <w:spacing w:before="0" w:after="20"/>
              <w:jc w:val="left"/>
            </w:pPr>
            <w:r>
              <w:rPr>
                <w:rFonts w:ascii="Arial" w:cs="Arial" w:eastAsia="Arial" w:hAnsi="Arial"/>
                <w:b w:val="false"/>
                <w:bCs w:val="false"/>
                <w:color w:val="555555"/>
                <w:sz w:val="18"/>
                <w:szCs w:val="18"/>
              </w:rPr>
              <w:t xml:space="preserve">Riverside Medical Pavilion, 4820 Lakewood Blvd, Suite 300</w:t>
            </w:r>
          </w:p>
          <w:p>
            <w:pPr>
              <w:spacing w:before="0" w:after="20"/>
              <w:jc w:val="left"/>
            </w:pPr>
            <w:r>
              <w:rPr>
                <w:rFonts w:ascii="Arial" w:cs="Arial" w:eastAsia="Arial" w:hAnsi="Arial"/>
                <w:b w:val="false"/>
                <w:bCs w:val="false"/>
                <w:color w:val="555555"/>
                <w:sz w:val="18"/>
                <w:szCs w:val="18"/>
              </w:rPr>
              <w:t xml:space="preserve">Houston, TX 77056  |  Tel: (713) 480-9200</w:t>
            </w:r>
          </w:p>
          <w:p>
            <w:pPr>
              <w:spacing w:before="0" w:after="80"/>
              <w:jc w:val="left"/>
            </w:pPr>
            <w:r>
              <w:rPr>
                <w:rFonts w:ascii="Arial" w:cs="Arial" w:eastAsia="Arial" w:hAnsi="Arial"/>
                <w:b w:val="false"/>
                <w:bCs w:val="false"/>
                <w:color w:val="555555"/>
                <w:sz w:val="18"/>
                <w:szCs w:val="18"/>
              </w:rPr>
              <w:t xml:space="preserve">records@nexuscarehealthsystems.com  |  www.nexuscarehealthsystems.com</w:t>
            </w:r>
          </w:p>
        </w:tc>
        <w:tc>
          <w:tcPr>
            <w:tcW w:type="dxa" w:w="4080"/>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spacing w:before="0" w:after="80"/>
              <w:jc w:val="right"/>
            </w:pPr>
            <w:r>
              <w:rPr>
                <w:rFonts w:ascii="Arial" w:cs="Arial" w:eastAsia="Arial" w:hAnsi="Arial"/>
                <w:b/>
                <w:bCs/>
                <w:color w:val="1A5276"/>
                <w:sz w:val="26"/>
                <w:szCs w:val="26"/>
              </w:rPr>
              <w:t xml:space="preserve">DISCHARGE SUMMARY</w:t>
            </w:r>
          </w:p>
          <w:p>
            <w:pPr>
              <w:spacing w:before="80" w:after="0"/>
              <w:jc w:val="right"/>
            </w:pPr>
            <w:r>
              <w:rPr>
                <w:rFonts w:ascii="Arial" w:cs="Arial" w:eastAsia="Arial" w:hAnsi="Arial"/>
                <w:b w:val="false"/>
                <w:bCs w:val="false"/>
                <w:color w:val="333333"/>
                <w:sz w:val="18"/>
                <w:szCs w:val="18"/>
              </w:rPr>
              <w:t xml:space="preserve">Document No:  NXC-DS-2025-041839</w:t>
            </w:r>
          </w:p>
          <w:p>
            <w:pPr>
              <w:spacing w:before="40" w:after="0"/>
              <w:jc w:val="right"/>
            </w:pPr>
            <w:r>
              <w:rPr>
                <w:rFonts w:ascii="Arial" w:cs="Arial" w:eastAsia="Arial" w:hAnsi="Arial"/>
                <w:b w:val="false"/>
                <w:bCs w:val="false"/>
                <w:color w:val="333333"/>
                <w:sz w:val="18"/>
                <w:szCs w:val="18"/>
              </w:rPr>
              <w:t xml:space="preserve">Date Issued:  November 17, 2025</w:t>
            </w:r>
          </w:p>
          <w:p>
            <w:pPr>
              <w:spacing w:before="40" w:after="0"/>
              <w:jc w:val="right"/>
            </w:pPr>
            <w:r>
              <w:rPr>
                <w:rFonts w:ascii="Arial" w:cs="Arial" w:eastAsia="Arial" w:hAnsi="Arial"/>
                <w:b w:val="false"/>
                <w:bCs w:val="false"/>
                <w:color w:val="333333"/>
                <w:sz w:val="18"/>
                <w:szCs w:val="18"/>
              </w:rPr>
              <w:t xml:space="preserve">Admission:  November 12, 2025</w:t>
            </w:r>
          </w:p>
          <w:p>
            <w:pPr>
              <w:spacing w:before="40" w:after="0"/>
              <w:jc w:val="right"/>
            </w:pPr>
            <w:r>
              <w:rPr>
                <w:rFonts w:ascii="Arial" w:cs="Arial" w:eastAsia="Arial" w:hAnsi="Arial"/>
                <w:b w:val="false"/>
                <w:bCs w:val="false"/>
                <w:color w:val="333333"/>
                <w:sz w:val="18"/>
                <w:szCs w:val="18"/>
              </w:rPr>
              <w:t xml:space="preserve">Discharge:  November 17, 2025</w:t>
            </w:r>
          </w:p>
        </w:tc>
      </w:tr>
    </w:tbl>
    <w:p>
      <w:pPr>
        <w:pBdr>
          <w:bottom w:val="single" w:color="1A5276" w:sz="6" w:space="1"/>
        </w:pBdr>
        <w:spacing w:before="4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20"/>
        <w:gridCol w:w="240"/>
        <w:gridCol w:w="4920"/>
      </w:tblGrid>
      <w:tr>
        <w:tc>
          <w:tcPr>
            <w:tcW w:type="dxa" w:w="4920"/>
            <w:tcBorders>
              <w:top w:val="single" w:color="1A5276" w:sz="4"/>
              <w:left w:val="none" w:color="FFFFFF" w:sz="0"/>
              <w:bottom w:val="none" w:color="FFFFFF" w:sz="0"/>
              <w:right w:val="none" w:color="FFFFFF" w:sz="0"/>
            </w:tcBorders>
            <w:tcMar>
              <w:top w:type="dxa" w:w="120"/>
              <w:left w:type="dxa" w:w="0"/>
              <w:bottom w:type="dxa" w:w="80"/>
              <w:right w:type="dxa" w:w="80"/>
            </w:tcMar>
          </w:tcPr>
          <w:p>
            <w:pPr>
              <w:spacing w:before="0" w:after="80"/>
              <w:jc w:val="left"/>
            </w:pPr>
            <w:r>
              <w:rPr>
                <w:rFonts w:ascii="Arial" w:cs="Arial" w:eastAsia="Arial" w:hAnsi="Arial"/>
                <w:b/>
                <w:bCs/>
                <w:color w:val="1A5276"/>
                <w:sz w:val="18"/>
                <w:szCs w:val="18"/>
              </w:rPr>
              <w:t xml:space="preserve">PATIENT INFORMATION</w:t>
            </w:r>
          </w:p>
          <w:p>
            <w:pPr>
              <w:spacing w:before="60" w:after="0"/>
            </w:pPr>
            <w:r>
              <w:t xml:space="preserve"/>
            </w:r>
          </w:p>
          <w:p>
            <w:pPr>
              <w:spacing w:before="40" w:after="50"/>
            </w:pPr>
            <w:r>
              <w:rPr>
                <w:rFonts w:ascii="Arial" w:cs="Arial" w:eastAsia="Arial" w:hAnsi="Arial"/>
                <w:b/>
                <w:bCs/>
                <w:sz w:val="20"/>
                <w:szCs w:val="20"/>
              </w:rPr>
              <w:t xml:space="preserve">Patient Name:  </w:t>
            </w:r>
            <w:r>
              <w:rPr>
                <w:rFonts w:ascii="Arial" w:cs="Arial" w:eastAsia="Arial" w:hAnsi="Arial"/>
                <w:sz w:val="20"/>
                <w:szCs w:val="20"/>
              </w:rPr>
              <w:t xml:space="preserve">Aisha D. Okonkwo</w:t>
            </w:r>
          </w:p>
          <w:p>
            <w:pPr>
              <w:spacing w:before="40" w:after="50"/>
            </w:pPr>
            <w:r>
              <w:rPr>
                <w:rFonts w:ascii="Arial" w:cs="Arial" w:eastAsia="Arial" w:hAnsi="Arial"/>
                <w:b/>
                <w:bCs/>
                <w:sz w:val="20"/>
                <w:szCs w:val="20"/>
              </w:rPr>
              <w:t xml:space="preserve">Date of Birth:  </w:t>
            </w:r>
            <w:r>
              <w:rPr>
                <w:rFonts w:ascii="Arial" w:cs="Arial" w:eastAsia="Arial" w:hAnsi="Arial"/>
                <w:sz w:val="20"/>
                <w:szCs w:val="20"/>
              </w:rPr>
              <w:t xml:space="preserve">May 19, 1987  (Age: 38)</w:t>
            </w:r>
          </w:p>
          <w:p>
            <w:pPr>
              <w:spacing w:before="40" w:after="50"/>
            </w:pPr>
            <w:r>
              <w:rPr>
                <w:rFonts w:ascii="Arial" w:cs="Arial" w:eastAsia="Arial" w:hAnsi="Arial"/>
                <w:b/>
                <w:bCs/>
                <w:sz w:val="20"/>
                <w:szCs w:val="20"/>
              </w:rPr>
              <w:t xml:space="preserve">Gender:  </w:t>
            </w:r>
            <w:r>
              <w:rPr>
                <w:rFonts w:ascii="Arial" w:cs="Arial" w:eastAsia="Arial" w:hAnsi="Arial"/>
                <w:sz w:val="20"/>
                <w:szCs w:val="20"/>
              </w:rPr>
              <w:t xml:space="preserve">Female</w:t>
            </w:r>
          </w:p>
          <w:p>
            <w:pPr>
              <w:spacing w:before="40" w:after="50"/>
            </w:pPr>
            <w:r>
              <w:rPr>
                <w:rFonts w:ascii="Arial" w:cs="Arial" w:eastAsia="Arial" w:hAnsi="Arial"/>
                <w:b/>
                <w:bCs/>
                <w:sz w:val="20"/>
                <w:szCs w:val="20"/>
              </w:rPr>
              <w:t xml:space="preserve">MRN:  </w:t>
            </w:r>
            <w:r>
              <w:rPr>
                <w:rFonts w:ascii="Arial" w:cs="Arial" w:eastAsia="Arial" w:hAnsi="Arial"/>
                <w:sz w:val="20"/>
                <w:szCs w:val="20"/>
              </w:rPr>
              <w:t xml:space="preserve">MRN-9944-HOU</w:t>
            </w:r>
          </w:p>
          <w:p>
            <w:pPr>
              <w:spacing w:before="40" w:after="50"/>
            </w:pPr>
            <w:r>
              <w:rPr>
                <w:rFonts w:ascii="Arial" w:cs="Arial" w:eastAsia="Arial" w:hAnsi="Arial"/>
                <w:b/>
                <w:bCs/>
                <w:sz w:val="20"/>
                <w:szCs w:val="20"/>
              </w:rPr>
              <w:t xml:space="preserve">Address:  </w:t>
            </w:r>
            <w:r>
              <w:rPr>
                <w:rFonts w:ascii="Arial" w:cs="Arial" w:eastAsia="Arial" w:hAnsi="Arial"/>
                <w:sz w:val="20"/>
                <w:szCs w:val="20"/>
              </w:rPr>
              <w:t xml:space="preserve">4418 Almeda Rd, Apt 7C, Houston, TX 77004</w:t>
            </w:r>
          </w:p>
        </w:tc>
        <w:tc>
          <w:tcPr>
            <w:tcW w:type="dxa" w:w="240"/>
            <w:tcBorders>
              <w:top w:val="none" w:color="FFFFFF" w:sz="0"/>
              <w:left w:val="none" w:color="FFFFFF" w:sz="0"/>
              <w:bottom w:val="none" w:color="FFFFFF" w:sz="0"/>
              <w:right w:val="none" w:color="FFFFFF" w:sz="0"/>
            </w:tcBorders>
          </w:tcPr>
          <w:p>
            <w:pPr>
              <w:spacing w:before="0" w:after="80"/>
              <w:jc w:val="left"/>
            </w:pPr>
            <w:r>
              <w:rPr>
                <w:rFonts w:ascii="Arial" w:cs="Arial" w:eastAsia="Arial" w:hAnsi="Arial"/>
                <w:b w:val="false"/>
                <w:bCs w:val="false"/>
                <w:color w:val="000000"/>
                <w:sz w:val="20"/>
                <w:szCs w:val="20"/>
              </w:rPr>
              <w:t xml:space="preserve"/>
            </w:r>
          </w:p>
        </w:tc>
        <w:tc>
          <w:tcPr>
            <w:tcW w:type="dxa" w:w="4920"/>
            <w:tcBorders>
              <w:top w:val="single" w:color="1A5276" w:sz="4"/>
              <w:left w:val="none" w:color="FFFFFF" w:sz="0"/>
              <w:bottom w:val="none" w:color="FFFFFF" w:sz="0"/>
              <w:right w:val="none" w:color="FFFFFF" w:sz="0"/>
            </w:tcBorders>
            <w:tcMar>
              <w:top w:type="dxa" w:w="120"/>
              <w:left w:type="dxa" w:w="80"/>
              <w:bottom w:type="dxa" w:w="80"/>
              <w:right w:type="dxa" w:w="0"/>
            </w:tcMar>
          </w:tcPr>
          <w:p>
            <w:pPr>
              <w:spacing w:before="0" w:after="80"/>
              <w:jc w:val="left"/>
            </w:pPr>
            <w:r>
              <w:rPr>
                <w:rFonts w:ascii="Arial" w:cs="Arial" w:eastAsia="Arial" w:hAnsi="Arial"/>
                <w:b/>
                <w:bCs/>
                <w:color w:val="1A5276"/>
                <w:sz w:val="18"/>
                <w:szCs w:val="18"/>
              </w:rPr>
              <w:t xml:space="preserve">CLINICAL INFORMATION</w:t>
            </w:r>
          </w:p>
          <w:p>
            <w:pPr>
              <w:spacing w:before="60" w:after="0"/>
            </w:pPr>
            <w:r>
              <w:t xml:space="preserve"/>
            </w:r>
          </w:p>
          <w:p>
            <w:pPr>
              <w:spacing w:before="40" w:after="50"/>
            </w:pPr>
            <w:r>
              <w:rPr>
                <w:rFonts w:ascii="Arial" w:cs="Arial" w:eastAsia="Arial" w:hAnsi="Arial"/>
                <w:b/>
                <w:bCs/>
                <w:sz w:val="20"/>
                <w:szCs w:val="20"/>
              </w:rPr>
              <w:t xml:space="preserve">Attending Physician:  </w:t>
            </w:r>
            <w:r>
              <w:rPr>
                <w:rFonts w:ascii="Arial" w:cs="Arial" w:eastAsia="Arial" w:hAnsi="Arial"/>
                <w:sz w:val="20"/>
                <w:szCs w:val="20"/>
              </w:rPr>
              <w:t xml:space="preserve">Dr. Carlos Reyes, MD – Psychiatry</w:t>
            </w:r>
          </w:p>
          <w:p>
            <w:pPr>
              <w:spacing w:before="40" w:after="50"/>
            </w:pPr>
            <w:r>
              <w:rPr>
                <w:rFonts w:ascii="Arial" w:cs="Arial" w:eastAsia="Arial" w:hAnsi="Arial"/>
                <w:b/>
                <w:bCs/>
                <w:sz w:val="20"/>
                <w:szCs w:val="20"/>
              </w:rPr>
              <w:t xml:space="preserve">NPI:  </w:t>
            </w:r>
            <w:r>
              <w:rPr>
                <w:rFonts w:ascii="Arial" w:cs="Arial" w:eastAsia="Arial" w:hAnsi="Arial"/>
                <w:sz w:val="20"/>
                <w:szCs w:val="20"/>
              </w:rPr>
              <w:t xml:space="preserve">1690348712</w:t>
            </w:r>
          </w:p>
          <w:p>
            <w:pPr>
              <w:spacing w:before="40" w:after="50"/>
            </w:pPr>
            <w:r>
              <w:rPr>
                <w:rFonts w:ascii="Arial" w:cs="Arial" w:eastAsia="Arial" w:hAnsi="Arial"/>
                <w:b/>
                <w:bCs/>
                <w:sz w:val="20"/>
                <w:szCs w:val="20"/>
              </w:rPr>
              <w:t xml:space="preserve">Facility:  </w:t>
            </w:r>
            <w:r>
              <w:rPr>
                <w:rFonts w:ascii="Arial" w:cs="Arial" w:eastAsia="Arial" w:hAnsi="Arial"/>
                <w:sz w:val="20"/>
                <w:szCs w:val="20"/>
              </w:rPr>
              <w:t xml:space="preserve">NexusCare – Behavioral Health Unit</w:t>
            </w:r>
          </w:p>
          <w:p>
            <w:pPr>
              <w:spacing w:before="40" w:after="50"/>
            </w:pPr>
            <w:r>
              <w:rPr>
                <w:rFonts w:ascii="Arial" w:cs="Arial" w:eastAsia="Arial" w:hAnsi="Arial"/>
                <w:b/>
                <w:bCs/>
                <w:sz w:val="20"/>
                <w:szCs w:val="20"/>
              </w:rPr>
              <w:t xml:space="preserve">Discharge Condition:  </w:t>
            </w:r>
            <w:r>
              <w:rPr>
                <w:rFonts w:ascii="Arial" w:cs="Arial" w:eastAsia="Arial" w:hAnsi="Arial"/>
                <w:sz w:val="20"/>
                <w:szCs w:val="20"/>
              </w:rPr>
              <w:t xml:space="preserve">Improved. Safety plan in place. Passive SI resolved. Mood brightened.</w:t>
            </w:r>
          </w:p>
          <w:p>
            <w:pPr>
              <w:spacing w:before="40" w:after="50"/>
            </w:pPr>
            <w:r>
              <w:rPr>
                <w:rFonts w:ascii="Arial" w:cs="Arial" w:eastAsia="Arial" w:hAnsi="Arial"/>
                <w:b/>
                <w:bCs/>
                <w:sz w:val="20"/>
                <w:szCs w:val="20"/>
              </w:rPr>
              <w:t xml:space="preserve">ICD-10 Codes:  </w:t>
            </w:r>
            <w:r>
              <w:rPr>
                <w:rFonts w:ascii="Arial" w:cs="Arial" w:eastAsia="Arial" w:hAnsi="Arial"/>
                <w:sz w:val="20"/>
                <w:szCs w:val="20"/>
              </w:rPr>
              <w:t xml:space="preserve">F33.2, F41.1, F51.01, Z91.19</w:t>
            </w:r>
          </w:p>
        </w:tc>
      </w:tr>
    </w:tbl>
    <w:p>
      <w:pPr>
        <w:spacing w:before="200" w:after="0"/>
        <w:jc w:val="left"/>
      </w:pPr>
      <w:r>
        <w:rPr>
          <w:rFonts w:ascii="Arial" w:cs="Arial" w:eastAsia="Arial" w:hAnsi="Arial"/>
          <w:b/>
          <w:bCs/>
          <w:color w:val="1A5276"/>
          <w:sz w:val="20"/>
          <w:szCs w:val="20"/>
        </w:rPr>
        <w:t xml:space="preserve">1. CHIEF COMPLAINT</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Voluntary admission for severe depressive episode with passive suicidal ideation, inability to perform activities of daily living, and 3-week history of treatment-refractory insomnia.</w:t>
      </w:r>
    </w:p>
    <w:p>
      <w:pPr>
        <w:spacing w:before="200" w:after="0"/>
        <w:jc w:val="left"/>
      </w:pPr>
      <w:r>
        <w:rPr>
          <w:rFonts w:ascii="Arial" w:cs="Arial" w:eastAsia="Arial" w:hAnsi="Arial"/>
          <w:b/>
          <w:bCs/>
          <w:color w:val="1A5276"/>
          <w:sz w:val="20"/>
          <w:szCs w:val="20"/>
        </w:rPr>
        <w:t xml:space="preserve">2. HISTORY OF PRESENT ILLNESS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Ms. Aisha D. Okonkwo, a 38-year-old female with a known history of Major Depressive Disorder (recurrent, severe) and Generalized Anxiety Disorder, presented voluntarily to NexusCare Behavioral Health on November 12, 2025. She reported a 6-week progressive worsening of depressive symptoms including persistent sadness, anhedonia, hypersomnia alternating with insomnia, psychomotor retardation, and passive suicidal ideation without active plan or intent. She cited recent loss of employment and relationship difficulties as psychosocial stressors. Her outpatient psychiatrist referred her for inpatient stabilization following a crisis call.</w:t>
      </w:r>
    </w:p>
    <w:p>
      <w:pPr>
        <w:spacing w:before="200" w:after="0"/>
        <w:jc w:val="left"/>
      </w:pPr>
      <w:r>
        <w:rPr>
          <w:rFonts w:ascii="Arial" w:cs="Arial" w:eastAsia="Arial" w:hAnsi="Arial"/>
          <w:b/>
          <w:bCs/>
          <w:color w:val="1A5276"/>
          <w:sz w:val="20"/>
          <w:szCs w:val="20"/>
        </w:rPr>
        <w:t xml:space="preserve">3. PAST MEDICAL HISTORY / PRE-EXISTING CONDITIONS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Major Depressive Disorder – Recurrent, Severe (diagnosed 2014); Generalized Anxiety Disorder; Prior hospitalization for depression (2019, St. Luke's); No history of psychosis or manic episodes; Hypothyroidism.</w:t>
      </w:r>
    </w:p>
    <w:p>
      <w:pPr>
        <w:spacing w:before="200" w:after="0"/>
        <w:jc w:val="left"/>
      </w:pPr>
      <w:r>
        <w:rPr>
          <w:rFonts w:ascii="Arial" w:cs="Arial" w:eastAsia="Arial" w:hAnsi="Arial"/>
          <w:b/>
          <w:bCs/>
          <w:color w:val="1A5276"/>
          <w:sz w:val="20"/>
          <w:szCs w:val="20"/>
        </w:rPr>
        <w:t xml:space="preserve">4. CURRENT MEDICATIONS ON ADMISSION</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Sertraline 100mg daily (inadequate response at current dose); Clonazepam 0.5mg PRN for acute anxiety; Levothyroxine 75mcg daily; Melatonin 5mg at bedtime (non-restorative).</w:t>
      </w:r>
    </w:p>
    <w:p>
      <w:pPr>
        <w:spacing w:before="200" w:after="0"/>
        <w:jc w:val="left"/>
      </w:pPr>
      <w:r>
        <w:rPr>
          <w:rFonts w:ascii="Arial" w:cs="Arial" w:eastAsia="Arial" w:hAnsi="Arial"/>
          <w:b/>
          <w:bCs/>
          <w:color w:val="1A5276"/>
          <w:sz w:val="20"/>
          <w:szCs w:val="20"/>
        </w:rPr>
        <w:t xml:space="preserve">5. ALLERGIES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No known drug, food, or environmental allergies.</w:t>
      </w:r>
    </w:p>
    <w:p>
      <w:pPr>
        <w:spacing w:before="200" w:after="0"/>
        <w:jc w:val="left"/>
      </w:pPr>
      <w:r>
        <w:rPr>
          <w:rFonts w:ascii="Arial" w:cs="Arial" w:eastAsia="Arial" w:hAnsi="Arial"/>
          <w:b/>
          <w:bCs/>
          <w:color w:val="1A5276"/>
          <w:sz w:val="20"/>
          <w:szCs w:val="20"/>
        </w:rPr>
        <w:t xml:space="preserve">6. PHYSICAL EXAMINATION FINDINGS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Vital Signs: BP 118/76 mmHg, HR 74 bpm, Temp 36.5°C, SpO2 99% on room air. MSE: Alert and oriented x4. Mood: depressed, affect constricted. Speech: soft, low rate. Thought process: linear, coherent. No auditory or visual hallucinations. Passive SI present, denies active intent or plan. Insight: good. Judgment: fair.</w:t>
      </w:r>
    </w:p>
    <w:p>
      <w:pPr>
        <w:spacing w:before="200" w:after="0"/>
        <w:jc w:val="left"/>
      </w:pPr>
      <w:r>
        <w:rPr>
          <w:rFonts w:ascii="Arial" w:cs="Arial" w:eastAsia="Arial" w:hAnsi="Arial"/>
          <w:b/>
          <w:bCs/>
          <w:color w:val="1A5276"/>
          <w:sz w:val="20"/>
          <w:szCs w:val="20"/>
        </w:rPr>
        <w:t xml:space="preserve">7. DIAGNOSTIC RESULTS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TSH: 2.4 mIU/L (within normal limits – Levothyroxine dose adequate). CBC: Hemoglobin 12.1 g/dL (mildly low, iron deficiency suspected). BMP: Within normal limits. Urine Drug Screen: Negative. Serum Sertraline Level: Subtherapeutic (42 ng/mL; therapeutic range 10–150 ng/mL with expected response &gt;70 ng/mL).</w:t>
      </w:r>
    </w:p>
    <w:p>
      <w:pPr>
        <w:spacing w:before="60" w:after="60"/>
        <w:jc w:val="left"/>
      </w:pPr>
      <w:r>
        <w:rPr>
          <w:rFonts w:ascii="Arial" w:cs="Arial" w:eastAsia="Arial" w:hAnsi="Arial"/>
          <w:b w:val="false"/>
          <w:bCs w:val="false"/>
          <w:color w:val="000000"/>
          <w:sz w:val="19"/>
          <w:szCs w:val="19"/>
        </w:rPr>
        <w:t xml:space="preserve">No imaging performed during this admission.</w:t>
      </w:r>
    </w:p>
    <w:p>
      <w:pPr>
        <w:spacing w:before="200" w:after="0"/>
        <w:jc w:val="left"/>
      </w:pPr>
      <w:r>
        <w:rPr>
          <w:rFonts w:ascii="Arial" w:cs="Arial" w:eastAsia="Arial" w:hAnsi="Arial"/>
          <w:b/>
          <w:bCs/>
          <w:color w:val="1A5276"/>
          <w:sz w:val="20"/>
          <w:szCs w:val="20"/>
        </w:rPr>
        <w:t xml:space="preserve">8. HOSPITAL COURSE &amp; TREATMENT</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Patient was admitted voluntarily to the inpatient Behavioral Health Unit for safety and stabilization. Sertraline was increased to 150mg daily. Mirtazapine 15mg nightly was added for sleep architecture improvement and augmentation of antidepressant effect. Clonazepam was continued at scheduled dose. Patient participated in daily individual therapy, group psychotherapy, and mindfulness sessions. A safety plan was developed and reviewed collaboratively. Social work was engaged to assist with employment resources and housing stability. By day 4, patient reported improved sleep, reduced passive SI, and improvement in mood. Safety assessment on discharge was favorable — no active SI, adequate support system engaged.</w:t>
      </w:r>
    </w:p>
    <w:p>
      <w:pPr>
        <w:spacing w:before="200" w:after="0"/>
        <w:jc w:val="left"/>
      </w:pPr>
      <w:r>
        <w:rPr>
          <w:rFonts w:ascii="Arial" w:cs="Arial" w:eastAsia="Arial" w:hAnsi="Arial"/>
          <w:b/>
          <w:bCs/>
          <w:color w:val="1A5276"/>
          <w:sz w:val="20"/>
          <w:szCs w:val="20"/>
        </w:rPr>
        <w:t xml:space="preserve">9. DISCHARGE INSTRUCTIONS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Take Sertraline 150mg daily with food. Take Mirtazapine 15mg at bedtime — do not skip. Continue Levothyroxine 75mcg as prescribed. Avoid alcohol and recreational substances. Implement safety plan strategies if distressing thoughts return. Contact crisis line (988) or return to ED if SI becomes active.</w:t>
      </w:r>
    </w:p>
    <w:p>
      <w:pPr>
        <w:spacing w:before="200" w:after="0"/>
        <w:jc w:val="left"/>
      </w:pPr>
      <w:r>
        <w:rPr>
          <w:rFonts w:ascii="Arial" w:cs="Arial" w:eastAsia="Arial" w:hAnsi="Arial"/>
          <w:b/>
          <w:bCs/>
          <w:color w:val="1A5276"/>
          <w:sz w:val="20"/>
          <w:szCs w:val="20"/>
        </w:rPr>
        <w:t xml:space="preserve">10. FOLLOW-UP PLAN</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Outpatient psychiatry follow-up with Dr. Reyes in 3 days. Therapy appointment scheduled in 5 days. Case manager will call within 24 hours of discharge. Iron studies to be drawn at PCP within 2 weeks.</w:t>
      </w:r>
    </w:p>
    <w:p>
      <w:pPr>
        <w:spacing w:before="160" w:after="0"/>
      </w:pPr>
      <w:r>
        <w:t xml:space="preserve"/>
      </w:r>
    </w:p>
    <w:p>
      <w:pPr>
        <w:pBdr>
          <w:bottom w:val="single" w:color="1A5276" w:sz="6" w:space="1"/>
        </w:pBdr>
        <w:spacing w:before="40" w:after="120"/>
      </w:pPr>
    </w:p>
    <w:p>
      <w:pPr>
        <w:spacing w:before="0" w:after="80"/>
        <w:jc w:val="center"/>
      </w:pPr>
      <w:r>
        <w:rPr>
          <w:rFonts w:ascii="Arial" w:cs="Arial" w:eastAsia="Arial" w:hAnsi="Arial"/>
          <w:b w:val="false"/>
          <w:bCs w:val="false"/>
          <w:color w:val="888888"/>
          <w:sz w:val="16"/>
          <w:szCs w:val="16"/>
        </w:rPr>
        <w:t xml:space="preserve">NexusCare Health Systems  |  Riverside Medical Pavilion, 4820 Lakewood Blvd, Suite 300, Houston, TX 77056</w:t>
      </w:r>
    </w:p>
    <w:p>
      <w:pPr>
        <w:spacing w:before="40" w:after="0"/>
        <w:jc w:val="center"/>
      </w:pPr>
      <w:r>
        <w:rPr>
          <w:rFonts w:ascii="Arial" w:cs="Arial" w:eastAsia="Arial" w:hAnsi="Arial"/>
          <w:b w:val="false"/>
          <w:bCs w:val="false"/>
          <w:color w:val="888888"/>
          <w:sz w:val="16"/>
          <w:szCs w:val="16"/>
        </w:rPr>
        <w:t xml:space="preserve">CONFIDENTIAL MEDICAL RECORD — Unauthorized disclosure is prohibited by law. HIPAA Compliant.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2026-03-25T12:20:02.946Z</dcterms:created>
  <dcterms:modified xsi:type="dcterms:W3CDTF">2026-03-25T12:20:02.946Z</dcterms:modified>
</cp:coreProperties>
</file>

<file path=docProps/custom.xml><?xml version="1.0" encoding="utf-8"?>
<Properties xmlns="http://schemas.openxmlformats.org/officeDocument/2006/custom-properties" xmlns:vt="http://schemas.openxmlformats.org/officeDocument/2006/docPropsVTypes"/>
</file>