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2e"/>
          <w:sz w:val="40"/>
          <w:szCs w:val="40"/>
        </w:rPr>
        <w:t xml:space="preserve">CarbonShift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A Carbon-Aware Compute Scheduler for Real-Time Grid-Responsive Energy Efficiency</w:t>
      </w:r>
    </w:p>
    <w:p>
      <w:pPr>
        <w:pStyle w:val="Heading2"/>
        <w:spacing w:after="120" w:before="240"/>
      </w:pPr>
      <w:r>
        <w:rPr>
          <w:b/>
          <w:bCs/>
          <w:color w:val="1a1a2e"/>
        </w:rPr>
        <w:t xml:space="preserve">Newness / Uniqueness</w:t>
      </w:r>
    </w:p>
    <w:p>
      <w:pPr>
        <w:spacing w:after="160"/>
      </w:pPr>
      <w:r>
        <w:rPr>
          <w:sz w:val="22"/>
          <w:szCs w:val="22"/>
        </w:rPr>
        <w:t xml:space="preserve">Most energy-efficiency tools optimize how much power is used. CarbonShift instead optimizes when and where compute jobs run, based on real-time carbon intensity of the electricity grid. Unlike static off-peak scheduling (which only considers price), it uses live grid-carbon-intensity data (renewable vs. fossil mix) to delay or relocate non-urgent, interruptible workloads to the cleanest available time window or region — with no hardware changes.</w:t>
      </w:r>
    </w:p>
    <w:p>
      <w:pPr>
        <w:pStyle w:val="Heading2"/>
        <w:spacing w:after="120" w:before="240"/>
      </w:pPr>
      <w:r>
        <w:rPr>
          <w:b/>
          <w:bCs/>
          <w:color w:val="1a1a2e"/>
        </w:rPr>
        <w:t xml:space="preserve">Concept &amp; Objective</w:t>
      </w:r>
    </w:p>
    <w:p>
      <w:pPr>
        <w:spacing w:after="160"/>
      </w:pPr>
      <w:r>
        <w:rPr>
          <w:sz w:val="22"/>
          <w:szCs w:val="22"/>
        </w:rPr>
        <w:t xml:space="preserve">A lightweight scheduler/middleware layer plugs into existing job queues (cron, Kubernetes CronJobs, CI/CD pipelines). It queries public grid-carbon APIs, forecasts the next low-carbon window within a user-defined deadline, and automatically reschedules jobs accordingly. Objective: reduce the carbon footprint of computing without added hardware cost or performance compromise for time-flexible tasks.</w:t>
      </w:r>
    </w:p>
    <w:p>
      <w:pPr>
        <w:pStyle w:val="Heading2"/>
        <w:spacing w:after="120" w:before="240"/>
      </w:pPr>
      <w:r>
        <w:rPr>
          <w:b/>
          <w:bCs/>
          <w:color w:val="1a1a2e"/>
        </w:rPr>
        <w:t xml:space="preserve">Application Areas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Cloud / data-center batch processing and ML training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Enterprise IT — backups, report generation, CI/CD builds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Smart offices and campuses with flexible compute needs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EV charging and appliance scheduling (future scope)</w:t>
      </w:r>
    </w:p>
    <w:p>
      <w:pPr>
        <w:pStyle w:val="Heading2"/>
        <w:spacing w:after="120" w:before="240"/>
      </w:pPr>
      <w:r>
        <w:rPr>
          <w:b/>
          <w:bCs/>
          <w:color w:val="1a1a2e"/>
        </w:rPr>
        <w:t xml:space="preserve">Market Potential</w:t>
      </w:r>
    </w:p>
    <w:p>
      <w:pPr>
        <w:spacing w:after="160"/>
      </w:pPr>
      <w:r>
        <w:rPr>
          <w:sz w:val="22"/>
          <w:szCs w:val="22"/>
        </w:rPr>
        <w:t xml:space="preserve">Data centers consume roughly 2% of global electricity, and this is rising fast with AI workloads. Enterprises face growing ESG and carbon-reporting mandates. A zero-hardware, plug-in software solution offering measurable carbon-reduction metrics is attractive to cloud providers, sustainability-focused SaaS platforms, and enterprises seeking low-cost compliance wins — a large and rapidly growing addressable market.</w:t>
      </w:r>
    </w:p>
    <w:p>
      <w:r>
        <w:br w:type="page"/>
      </w:r>
    </w:p>
    <w:p>
      <w:pPr>
        <w:pStyle w:val="Heading2"/>
        <w:spacing w:after="200"/>
        <w:jc w:val="center"/>
      </w:pPr>
      <w:r>
        <w:rPr>
          <w:b/>
          <w:bCs/>
          <w:color w:val="1a1a2e"/>
        </w:rPr>
        <w:t xml:space="preserve">System Block Diagram</w:t>
      </w:r>
    </w:p>
    <w:p>
      <w:pPr>
        <w:spacing w:after="300"/>
        <w:jc w:val="center"/>
      </w:pPr>
      <w:r>
        <w:drawing>
          <wp:inline distT="0" distB="0" distL="0" distR="0">
            <wp:extent cx="5715000" cy="403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/>
        <w:jc w:val="center"/>
      </w:pPr>
      <w:r>
        <w:rPr>
          <w:b/>
          <w:bCs/>
          <w:color w:val="1a1a2e"/>
        </w:rPr>
        <w:t xml:space="preserve">Concept Overview</w:t>
      </w:r>
    </w:p>
    <w:p>
      <w:pPr>
        <w:spacing w:after="200"/>
        <w:jc w:val="center"/>
      </w:pPr>
      <w:r>
        <w:drawing>
          <wp:inline distT="0" distB="0" distL="0" distR="0">
            <wp:extent cx="5715000" cy="403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46bbb23ec7aa4107f5f0f2b7e3352d1e4ef2028.jpg"/><Relationship Id="rId8" Type="http://schemas.openxmlformats.org/officeDocument/2006/relationships/image" Target="media/48e8aaaf63058722443fe7e2419bc59ed0349a71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2026-07-21T02:00:23.672Z</dcterms:created>
  <dcterms:modified xsi:type="dcterms:W3CDTF">2026-07-21T02:00:23.677Z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