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Wohnung</w:t>
      </w:r>
      <w:r>
        <w:t xml:space="preserve"> /ˈvoːnʊŋ/</w:t>
      </w:r>
    </w:p>
    <w:p>
      <w:pPr>
        <w:spacing w:after="80"/>
        <w:ind w:left="576"/>
      </w:pPr>
      <w:r>
        <w:rPr>
          <w:sz w:val="22"/>
        </w:rPr>
        <w:t>die Wohnung, -en</w:t>
      </w:r>
    </w:p>
    <w:p>
      <w:pPr>
        <w:spacing w:after="80"/>
        <w:ind w:left="576"/>
      </w:pPr>
      <w:r>
        <w:t>Apartment; flat.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Wohnung ist klein.</w:t>
      </w:r>
      <w:r>
        <w:rPr>
          <w:i/>
          <w:color w:val="404040"/>
          <w:sz w:val="21"/>
        </w:rPr>
        <w:t xml:space="preserve"> (My apartment is small.)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ist Ihre Wohnung?</w:t>
      </w:r>
      <w:r>
        <w:rPr>
          <w:i/>
          <w:color w:val="404040"/>
          <w:sz w:val="21"/>
        </w:rPr>
        <w:t xml:space="preserve"> (Where is your apartment?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