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die Vorwahl</w:t>
      </w:r>
      <w:r>
        <w:t xml:space="preserve"> /ˈfoːɐ̯vaːl/</w:t>
      </w:r>
    </w:p>
    <w:p>
      <w:pPr>
        <w:spacing w:after="80"/>
        <w:ind w:left="576"/>
      </w:pPr>
      <w:r>
        <w:rPr>
          <w:sz w:val="22"/>
        </w:rPr>
        <w:t>die Vorwahl, -en</w:t>
      </w:r>
    </w:p>
    <w:p>
      <w:pPr>
        <w:spacing w:after="80"/>
        <w:ind w:left="576"/>
      </w:pPr>
      <w:r>
        <w:t>Area code; dialing prefix.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 compound word: Vorwahl, not two words.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0621 / 53487, 0621 is the Vorwahl and 53487 is the local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Vorwahl von Mannheim ist 0621.</w:t>
      </w:r>
      <w:r>
        <w:rPr>
          <w:i/>
          <w:color w:val="404040"/>
          <w:sz w:val="21"/>
        </w:rPr>
        <w:t xml:space="preserve"> (Mannheim's area code is 0621.)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Vorwahl hat Berlin?</w:t>
      </w:r>
      <w:r>
        <w:rPr>
          <w:i/>
          <w:color w:val="404040"/>
          <w:sz w:val="21"/>
        </w:rPr>
        <w:t xml:space="preserve"> (What area code does Berlin have?)</w:t>
      </w:r>
    </w:p>
    <w:p>
      <w:pPr>
        <w:spacing w:before="0" w:after="0"/>
      </w:pPr>
    </w:p>
    <w:p>
      <w:pPr>
        <w:spacing w:after="120"/>
      </w:pPr>
      <w:r>
        <w:rPr>
          <w:b/>
        </w:rPr>
        <w:t>können</w:t>
      </w:r>
      <w: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Example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Pattern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 kann Deutsch sprechen.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sprechen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du das wiederholen?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+ du + ... + wiederholen?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 kann die Frage beantworten.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beantworten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 können zusammen lernen.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... + lernen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ihr das lesen?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+ ihr + ... + lesen?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sie/Sie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Sie bitte langsam sprechen?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sie/Sie + ... + sprechen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