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pPr>
      <w:r>
        <w:rPr>
          <w:b w:val="0"/>
          <w:i w:val="0"/>
        </w:rPr>
        <w:t>Model Surgery — Presentation Content</w:t>
      </w:r>
    </w:p>
    <w:p>
      <w:pPr>
        <w:spacing w:after="40"/>
      </w:pPr>
      <w:r>
        <w:rPr>
          <w:b/>
          <w:i w:val="0"/>
          <w:color w:val="595959"/>
          <w:sz w:val="23"/>
        </w:rPr>
        <w:t>12 slides, structured against the DataForge judging criteria and design standards</w:t>
      </w:r>
    </w:p>
    <w:p>
      <w:pPr>
        <w:spacing w:after="200"/>
      </w:pPr>
      <w:r>
        <w:rPr>
          <w:b w:val="0"/>
          <w:i/>
          <w:color w:val="595959"/>
          <w:sz w:val="19"/>
        </w:rPr>
        <w:t>DataForge 2026 · Pathway Track · Team Invariance · IIT Kharagpur</w:t>
      </w:r>
    </w:p>
    <w:p>
      <w:pPr>
        <w:spacing w:after="160"/>
      </w:pPr>
      <w:r>
        <w:rPr>
          <w:sz w:val="21"/>
        </w:rPr>
        <w:t>This is slide content, not a spec — each entry gives the on-slide headline, the sparse bullets that belong on the slide itself, the visual, and what to say out loud. Slides 8 and 9 are marked as placeholders because the sweep has not run yet; their structure is settled, their numbers are not.</w:t>
      </w:r>
    </w:p>
    <w:tbl>
      <w:tblPr>
        <w:tblStyle w:val="TableGrid"/>
        <w:tblW w:type="auto" w:w="0"/>
        <w:tblLook w:firstColumn="1" w:firstRow="1" w:lastColumn="0" w:lastRow="0" w:noHBand="0" w:noVBand="1" w:val="04A0"/>
      </w:tblPr>
      <w:tblGrid>
        <w:gridCol w:w="8640"/>
      </w:tblGrid>
      <w:tr>
        <w:tc>
          <w:tcPr>
            <w:tcW w:type="dxa" w:w="8640"/>
            <w:shd w:val="clear" w:color="auto" w:fill="EEF3F8"/>
          </w:tcPr>
          <w:p>
            <w:r/>
            <w:r>
              <w:rPr>
                <w:b/>
                <w:color w:val="1F4E79"/>
                <w:sz w:val="19"/>
              </w:rPr>
              <w:t>Two design rules from the PS that govern every slide</w:t>
            </w:r>
          </w:p>
          <w:p>
            <w:pPr>
              <w:spacing w:after="40"/>
            </w:pPr>
            <w:r>
              <w:rPr>
                <w:sz w:val="19"/>
              </w:rPr>
              <w:t>Design standards (PS p.9): one claim — every chart and paragraph serves it, cut anything that does not; truth beside estimate; no hidden limits — caps and approximations are fine, state them. Judging (PS p.09): 100 points across seven criteria, of which technical correctness (25) and technical ownership under live defence (15) are the two largest. The deck is ordered so that a judge accumulates evidence for those two throughout, not only at the end.</w:t>
            </w:r>
          </w:p>
        </w:tc>
      </w:tr>
    </w:tbl>
    <w:p>
      <w:pPr>
        <w:spacing w:after="60"/>
      </w:pPr>
    </w:p>
    <w:p>
      <w:r>
        <w:br w:type="page"/>
      </w:r>
    </w:p>
    <w:p>
      <w:pPr>
        <w:pStyle w:val="Heading1"/>
      </w:pPr>
      <w:r>
        <w:rPr>
          <w:b w:val="0"/>
          <w:i w:val="0"/>
        </w:rPr>
        <w:t>The slides</w:t>
      </w:r>
    </w:p>
    <w:p>
      <w:pPr>
        <w:pStyle w:val="Heading2"/>
      </w:pPr>
      <w:r>
        <w:rPr>
          <w:b w:val="0"/>
          <w:i w:val="0"/>
        </w:rPr>
        <w:t>Slide 1 — Title</w:t>
      </w:r>
    </w:p>
    <w:p>
      <w:pPr>
        <w:spacing w:after="100"/>
      </w:pPr>
      <w:r>
        <w:rPr>
          <w:b/>
          <w:i w:val="0"/>
          <w:color w:val="595959"/>
          <w:sz w:val="19"/>
        </w:rPr>
        <w:t xml:space="preserve">Headline on slide: </w:t>
      </w:r>
      <w:r>
        <w:rPr>
          <w:b w:val="0"/>
          <w:i/>
          <w:sz w:val="21"/>
        </w:rPr>
        <w:t>Model Surgery: when can two neural networks be fused into one?</w:t>
      </w:r>
    </w:p>
    <w:p>
      <w:pPr>
        <w:pStyle w:val="Heading3"/>
      </w:pPr>
      <w:r>
        <w:rPr>
          <w:b w:val="0"/>
          <w:i w:val="0"/>
        </w:rPr>
        <w:t>On-slide content</w:t>
      </w:r>
    </w:p>
    <w:p>
      <w:pPr>
        <w:pStyle w:val="ListBullet"/>
        <w:spacing w:after="40"/>
      </w:pPr>
      <w:r>
        <w:rPr>
          <w:b w:val="0"/>
          <w:i w:val="0"/>
        </w:rPr>
        <w:t>Project title, team name, and the one-line hook.</w:t>
      </w:r>
    </w:p>
    <w:p>
      <w:pPr>
        <w:pStyle w:val="ListBullet"/>
        <w:spacing w:after="40"/>
      </w:pPr>
      <w:r>
        <w:rPr>
          <w:b/>
          <w:i w:val="0"/>
        </w:rPr>
        <w:t xml:space="preserve">Hook: </w:t>
      </w:r>
      <w:r>
        <w:rPr>
          <w:b w:val="0"/>
          <w:i/>
        </w:rPr>
        <w:t>"BDH models can be merged by concatenating their weights, no retraining. We tested when that actually works."</w:t>
      </w:r>
    </w:p>
    <w:p>
      <w:pPr>
        <w:pStyle w:val="ListBullet"/>
        <w:spacing w:after="40"/>
      </w:pPr>
      <w:r>
        <w:rPr>
          <w:b w:val="0"/>
          <w:i w:val="0"/>
        </w:rPr>
        <w:t>Names of all four members + the artifact URL, large enough to read from the back.</w:t>
      </w:r>
    </w:p>
    <w:p>
      <w:pPr>
        <w:pStyle w:val="Heading3"/>
      </w:pPr>
      <w:r>
        <w:rPr>
          <w:b w:val="0"/>
          <w:i w:val="0"/>
        </w:rPr>
        <w:t>Visual</w:t>
      </w:r>
    </w:p>
    <w:p>
      <w:pPr>
        <w:spacing w:after="80"/>
      </w:pPr>
      <w:r>
        <w:rPr>
          <w:b w:val="0"/>
          <w:i w:val="0"/>
          <w:sz w:val="20"/>
        </w:rPr>
        <w:t>The merge sandbox already running behind the title — a live model generating text on load. The PS says: skip the blank canvas, open with a preset already running. Apply that to the deck too.</w:t>
      </w:r>
    </w:p>
    <w:p>
      <w:pPr>
        <w:pStyle w:val="Heading3"/>
      </w:pPr>
      <w:r>
        <w:rPr>
          <w:b w:val="0"/>
          <w:i w:val="0"/>
        </w:rPr>
        <w:t>Speaker notes</w:t>
      </w:r>
    </w:p>
    <w:p>
      <w:pPr>
        <w:spacing w:after="80"/>
      </w:pPr>
      <w:r>
        <w:rPr>
          <w:b w:val="0"/>
          <w:i w:val="0"/>
          <w:sz w:val="20"/>
        </w:rPr>
        <w:t>Fifteen seconds. Name, hook, move on. Do not explain BDH yet — the claim lands harder before the background.</w:t>
      </w:r>
    </w:p>
    <w:p>
      <w:pPr>
        <w:spacing w:after="200"/>
      </w:pPr>
      <w:r>
        <w:rPr>
          <w:b/>
          <w:i w:val="0"/>
          <w:color w:val="595959"/>
          <w:sz w:val="18"/>
        </w:rPr>
        <w:t xml:space="preserve">Serves: </w:t>
      </w:r>
      <w:r>
        <w:rPr>
          <w:b w:val="0"/>
          <w:i/>
          <w:color w:val="595959"/>
          <w:sz w:val="18"/>
        </w:rPr>
        <w:t>Craft (10) — first impression, and the "catchy" design standard.</w:t>
      </w:r>
    </w:p>
    <w:p>
      <w:pPr>
        <w:pStyle w:val="Heading2"/>
      </w:pPr>
      <w:r>
        <w:rPr>
          <w:b w:val="0"/>
          <w:i w:val="0"/>
        </w:rPr>
        <w:t>Slide 2 — The claim</w:t>
      </w:r>
    </w:p>
    <w:p>
      <w:pPr>
        <w:spacing w:after="100"/>
      </w:pPr>
      <w:r>
        <w:rPr>
          <w:b/>
          <w:i w:val="0"/>
          <w:color w:val="595959"/>
          <w:sz w:val="19"/>
        </w:rPr>
        <w:t xml:space="preserve">Headline on slide: </w:t>
      </w:r>
      <w:r>
        <w:rPr>
          <w:b w:val="0"/>
          <w:i/>
          <w:sz w:val="21"/>
        </w:rPr>
        <w:t>Whether two BDH models survive being fused is predictable from how much their neurons overlap.</w:t>
      </w:r>
    </w:p>
    <w:p>
      <w:pPr>
        <w:pStyle w:val="Heading3"/>
      </w:pPr>
      <w:r>
        <w:rPr>
          <w:b w:val="0"/>
          <w:i w:val="0"/>
        </w:rPr>
        <w:t>On-slide content</w:t>
      </w:r>
    </w:p>
    <w:p>
      <w:pPr>
        <w:pStyle w:val="ListBullet"/>
        <w:spacing w:after="40"/>
      </w:pPr>
      <w:r>
        <w:rPr>
          <w:b w:val="0"/>
          <w:i w:val="0"/>
        </w:rPr>
        <w:t>The full falsifiable sentence, on screen, verbatim.</w:t>
      </w:r>
    </w:p>
    <w:p>
      <w:pPr>
        <w:pStyle w:val="ListBullet"/>
        <w:spacing w:after="40"/>
      </w:pPr>
      <w:r>
        <w:rPr>
          <w:b/>
          <w:i w:val="0"/>
        </w:rPr>
        <w:t xml:space="preserve">Second line: </w:t>
      </w:r>
      <w:r>
        <w:rPr>
          <w:b w:val="0"/>
          <w:i/>
        </w:rPr>
        <w:t>"...and where they collide, the damage is localized to identifiable neurons rather than diffused through the model."</w:t>
      </w:r>
    </w:p>
    <w:p>
      <w:pPr>
        <w:pStyle w:val="ListBullet"/>
        <w:spacing w:after="40"/>
      </w:pPr>
      <w:r>
        <w:rPr>
          <w:b w:val="0"/>
          <w:i w:val="0"/>
        </w:rPr>
        <w:t>One line naming what would falsify it: a flat damage curve, or ablation no better than random.</w:t>
      </w:r>
    </w:p>
    <w:p>
      <w:pPr>
        <w:pStyle w:val="Heading3"/>
      </w:pPr>
      <w:r>
        <w:rPr>
          <w:b w:val="0"/>
          <w:i w:val="0"/>
        </w:rPr>
        <w:t>Visual</w:t>
      </w:r>
    </w:p>
    <w:p>
      <w:pPr>
        <w:spacing w:after="80"/>
      </w:pPr>
      <w:r>
        <w:rPr>
          <w:b w:val="0"/>
          <w:i w:val="0"/>
          <w:sz w:val="20"/>
        </w:rPr>
        <w:t>Text only. Large. This is the single most important slide in the deck — do not decorate it.</w:t>
      </w:r>
    </w:p>
    <w:p>
      <w:pPr>
        <w:pStyle w:val="Heading3"/>
      </w:pPr>
      <w:r>
        <w:rPr>
          <w:b w:val="0"/>
          <w:i w:val="0"/>
        </w:rPr>
        <w:t>Speaker notes</w:t>
      </w:r>
    </w:p>
    <w:p>
      <w:pPr>
        <w:spacing w:after="80"/>
      </w:pPr>
      <w:r>
        <w:rPr>
          <w:b w:val="0"/>
          <w:i w:val="0"/>
          <w:sz w:val="20"/>
        </w:rPr>
        <w:t>Say the claim, then immediately say what would prove it wrong. Judges are explicitly scoring the one-sentence claim and whether the artifact could in principle reveal it is wrong. Saying the falsifier out loud, unprompted, is worth more than any amount of polish.</w:t>
      </w:r>
    </w:p>
    <w:p>
      <w:pPr>
        <w:spacing w:after="200"/>
      </w:pPr>
      <w:r>
        <w:rPr>
          <w:b/>
          <w:i w:val="0"/>
          <w:color w:val="595959"/>
          <w:sz w:val="18"/>
        </w:rPr>
        <w:t xml:space="preserve">Serves: </w:t>
      </w:r>
      <w:r>
        <w:rPr>
          <w:b w:val="0"/>
          <w:i/>
          <w:color w:val="595959"/>
          <w:sz w:val="18"/>
        </w:rPr>
        <w:t>Learning effectiveness (15) — the one-sentence claim is named in the rubric.</w:t>
      </w:r>
    </w:p>
    <w:p>
      <w:pPr>
        <w:pStyle w:val="Heading2"/>
      </w:pPr>
      <w:r>
        <w:rPr>
          <w:b w:val="0"/>
          <w:i w:val="0"/>
        </w:rPr>
        <w:t>Slide 3 — The gap</w:t>
      </w:r>
    </w:p>
    <w:p>
      <w:pPr>
        <w:spacing w:after="100"/>
      </w:pPr>
      <w:r>
        <w:rPr>
          <w:b/>
          <w:i w:val="0"/>
          <w:color w:val="595959"/>
          <w:sz w:val="19"/>
        </w:rPr>
        <w:t xml:space="preserve">Headline on slide: </w:t>
      </w:r>
      <w:r>
        <w:rPr>
          <w:b w:val="0"/>
          <w:i/>
          <w:sz w:val="21"/>
        </w:rPr>
        <w:t>Pathway ran this experiment once, asserted the mechanism, and never tested it.</w:t>
      </w:r>
    </w:p>
    <w:p>
      <w:pPr>
        <w:pStyle w:val="Heading3"/>
      </w:pPr>
      <w:r>
        <w:rPr>
          <w:b w:val="0"/>
          <w:i w:val="0"/>
        </w:rPr>
        <w:t>On-slide content</w:t>
      </w:r>
    </w:p>
    <w:p>
      <w:pPr>
        <w:pStyle w:val="ListBullet"/>
        <w:spacing w:after="40"/>
      </w:pPr>
      <w:r>
        <w:rPr>
          <w:b w:val="0"/>
          <w:i w:val="0"/>
        </w:rPr>
        <w:t>§7.1 of the Dragon Hatchling paper: one merge, one model pair, one uncontrolled overlap level.</w:t>
      </w:r>
    </w:p>
    <w:p>
      <w:pPr>
        <w:pStyle w:val="ListBullet"/>
        <w:spacing w:after="40"/>
      </w:pPr>
      <w:r>
        <w:rPr>
          <w:b w:val="0"/>
          <w:i w:val="0"/>
        </w:rPr>
        <w:t xml:space="preserve">Their stated mechanism, quoted: </w:t>
      </w:r>
      <w:r>
        <w:rPr>
          <w:b w:val="0"/>
          <w:i/>
        </w:rPr>
        <w:t>"when the model latent space promotes concept disentangling... then it is feasible to directly compose concepts in this space."</w:t>
      </w:r>
    </w:p>
    <w:p>
      <w:pPr>
        <w:pStyle w:val="ListBullet"/>
        <w:spacing w:after="40"/>
      </w:pPr>
      <w:r>
        <w:rPr>
          <w:b/>
          <w:i w:val="0"/>
        </w:rPr>
        <w:t xml:space="preserve">Nobody has varied disentanglement and measured what happens. </w:t>
      </w:r>
      <w:r>
        <w:rPr>
          <w:b w:val="0"/>
          <w:i w:val="0"/>
        </w:rPr>
        <w:t>That curve does not exist — including at Pathway.</w:t>
      </w:r>
    </w:p>
    <w:p>
      <w:pPr>
        <w:pStyle w:val="Heading3"/>
      </w:pPr>
      <w:r>
        <w:rPr>
          <w:b w:val="0"/>
          <w:i w:val="0"/>
        </w:rPr>
        <w:t>Visual</w:t>
      </w:r>
    </w:p>
    <w:p>
      <w:pPr>
        <w:spacing w:after="80"/>
      </w:pPr>
      <w:r>
        <w:rPr>
          <w:b w:val="0"/>
          <w:i w:val="0"/>
          <w:sz w:val="20"/>
        </w:rPr>
        <w:t>Left: the paper’s single data point, one dot. Right: our sweep, a full curve. The visual argument is literally one dot versus a curve.</w:t>
      </w:r>
    </w:p>
    <w:p>
      <w:pPr>
        <w:pStyle w:val="Heading3"/>
      </w:pPr>
      <w:r>
        <w:rPr>
          <w:b w:val="0"/>
          <w:i w:val="0"/>
        </w:rPr>
        <w:t>Speaker notes</w:t>
      </w:r>
    </w:p>
    <w:p>
      <w:pPr>
        <w:spacing w:after="80"/>
      </w:pPr>
      <w:r>
        <w:rPr>
          <w:b w:val="0"/>
          <w:i w:val="0"/>
          <w:sz w:val="20"/>
        </w:rPr>
        <w:t>This is the slide that separates you from teams explaining a published result. You are not re-drawing Table 2 — you are running the controlled experiment the paper skipped. Say that plainly; do not oversell it as more than a toy-scale finding.</w:t>
      </w:r>
    </w:p>
    <w:p>
      <w:pPr>
        <w:spacing w:after="200"/>
      </w:pPr>
      <w:r>
        <w:rPr>
          <w:b/>
          <w:i w:val="0"/>
          <w:color w:val="595959"/>
          <w:sz w:val="18"/>
        </w:rPr>
        <w:t xml:space="preserve">Serves: </w:t>
      </w:r>
      <w:r>
        <w:rPr>
          <w:b w:val="0"/>
          <w:i/>
          <w:color w:val="595959"/>
          <w:sz w:val="18"/>
        </w:rPr>
        <w:t>Technical correctness and depth (25) — originality of contribution.</w:t>
      </w:r>
    </w:p>
    <w:p>
      <w:pPr>
        <w:pStyle w:val="Heading2"/>
      </w:pPr>
      <w:r>
        <w:rPr>
          <w:b w:val="0"/>
          <w:i w:val="0"/>
        </w:rPr>
        <w:t>Slide 4 — Why BDH can do this and a Transformer cannot</w:t>
      </w:r>
    </w:p>
    <w:p>
      <w:pPr>
        <w:spacing w:after="100"/>
      </w:pPr>
      <w:r>
        <w:rPr>
          <w:b/>
          <w:i w:val="0"/>
          <w:color w:val="595959"/>
          <w:sz w:val="19"/>
        </w:rPr>
        <w:t xml:space="preserve">Headline on slide: </w:t>
      </w:r>
      <w:r>
        <w:rPr>
          <w:b w:val="0"/>
          <w:i/>
          <w:sz w:val="21"/>
        </w:rPr>
        <w:t>BDH puts all its parameters on one uniform axis. That axis is the surgical plane.</w:t>
      </w:r>
    </w:p>
    <w:p>
      <w:pPr>
        <w:pStyle w:val="Heading3"/>
      </w:pPr>
      <w:r>
        <w:rPr>
          <w:b w:val="0"/>
          <w:i w:val="0"/>
        </w:rPr>
        <w:t>On-slide content</w:t>
      </w:r>
    </w:p>
    <w:p>
      <w:pPr>
        <w:pStyle w:val="ListBullet"/>
        <w:spacing w:after="40"/>
      </w:pPr>
      <w:r>
        <w:rPr>
          <w:b w:val="0"/>
          <w:i w:val="0"/>
        </w:rPr>
        <w:t xml:space="preserve">BDH-GPU parameters = </w:t>
      </w:r>
      <w:r>
        <w:rPr>
          <w:rFonts w:ascii="Consolas" w:hAnsi="Consolas"/>
          <w:b w:val="0"/>
          <w:i w:val="0"/>
          <w:sz w:val="18"/>
        </w:rPr>
        <w:t>3nd + 2Ωd</w:t>
      </w:r>
      <w:r>
        <w:rPr>
          <w:b w:val="0"/>
          <w:i w:val="0"/>
        </w:rPr>
        <w:t xml:space="preserve"> — n is a free scaling axis (Def. 4, §3.2).</w:t>
      </w:r>
    </w:p>
    <w:p>
      <w:pPr>
        <w:pStyle w:val="ListBullet"/>
        <w:spacing w:after="40"/>
      </w:pPr>
      <w:r>
        <w:rPr>
          <w:b w:val="0"/>
          <w:i w:val="0"/>
        </w:rPr>
        <w:t>Concatenate along n: two (n×d) matrices stack into (n₁+n₂ × d). Model grows, both specialisations preserved.</w:t>
      </w:r>
    </w:p>
    <w:p>
      <w:pPr>
        <w:pStyle w:val="ListBullet"/>
        <w:spacing w:after="40"/>
      </w:pPr>
      <w:r>
        <w:rPr>
          <w:b/>
          <w:i w:val="0"/>
        </w:rPr>
        <w:t xml:space="preserve">Three distinct operations, often confused: </w:t>
      </w:r>
      <w:r>
        <w:rPr>
          <w:b w:val="0"/>
          <w:i w:val="0"/>
        </w:rPr>
        <w:t>ensembling (outputs, N× cost forever) ≠ weight averaging (same size, needs shared initialisation) ≠ concatenation (grows capacity, no correspondence problem).</w:t>
      </w:r>
    </w:p>
    <w:p>
      <w:pPr>
        <w:pStyle w:val="Heading3"/>
      </w:pPr>
      <w:r>
        <w:rPr>
          <w:b w:val="0"/>
          <w:i w:val="0"/>
        </w:rPr>
        <w:t>Visual</w:t>
      </w:r>
    </w:p>
    <w:p>
      <w:pPr>
        <w:spacing w:after="80"/>
      </w:pPr>
      <w:r>
        <w:rPr>
          <w:b w:val="0"/>
          <w:i w:val="0"/>
          <w:sz w:val="20"/>
        </w:rPr>
        <w:t>Three-panel diagram. Ensemble: two boxes, outputs joined by a vote symbol. Average: two strips blending into muddy grey. Concatenate: two strips placed side by side, colours intact.</w:t>
      </w:r>
    </w:p>
    <w:p>
      <w:pPr>
        <w:pStyle w:val="Heading3"/>
      </w:pPr>
      <w:r>
        <w:rPr>
          <w:b w:val="0"/>
          <w:i w:val="0"/>
        </w:rPr>
        <w:t>Speaker notes</w:t>
      </w:r>
    </w:p>
    <w:p>
      <w:pPr>
        <w:spacing w:after="80"/>
      </w:pPr>
      <w:r>
        <w:rPr>
          <w:b w:val="0"/>
          <w:i w:val="0"/>
          <w:sz w:val="20"/>
        </w:rPr>
        <w:t>The question you will be asked is "how is this different from an ensemble?" Answer it before it is asked. Key line: a Transformer has no free axis — hidden size is entangled with every weight matrix, so there is no concatenation operation to even attempt. Averaging is its closest analogue and it needs shared init.</w:t>
      </w:r>
    </w:p>
    <w:p>
      <w:pPr>
        <w:spacing w:after="200"/>
      </w:pPr>
      <w:r>
        <w:rPr>
          <w:b/>
          <w:i w:val="0"/>
          <w:color w:val="595959"/>
          <w:sz w:val="18"/>
        </w:rPr>
        <w:t xml:space="preserve">Serves: </w:t>
      </w:r>
      <w:r>
        <w:rPr>
          <w:b w:val="0"/>
          <w:i/>
          <w:color w:val="595959"/>
          <w:sz w:val="18"/>
        </w:rPr>
        <w:t>Technical correctness (25) + BDH integration (10).</w:t>
      </w:r>
    </w:p>
    <w:p>
      <w:pPr>
        <w:pStyle w:val="Heading2"/>
      </w:pPr>
      <w:r>
        <w:rPr>
          <w:b w:val="0"/>
          <w:i w:val="0"/>
        </w:rPr>
        <w:t>Slide 5 — The substrate</w:t>
      </w:r>
    </w:p>
    <w:p>
      <w:pPr>
        <w:spacing w:after="100"/>
      </w:pPr>
      <w:r>
        <w:rPr>
          <w:b/>
          <w:i w:val="0"/>
          <w:color w:val="595959"/>
          <w:sz w:val="19"/>
        </w:rPr>
        <w:t xml:space="preserve">Headline on slide: </w:t>
      </w:r>
      <w:r>
        <w:rPr>
          <w:b w:val="0"/>
          <w:i/>
          <w:sz w:val="21"/>
        </w:rPr>
        <w:t>A real BDH-GPU model, running in your browser, four matmuls, no black box.</w:t>
      </w:r>
    </w:p>
    <w:p>
      <w:pPr>
        <w:pStyle w:val="Heading3"/>
      </w:pPr>
      <w:r>
        <w:rPr>
          <w:b w:val="0"/>
          <w:i w:val="0"/>
        </w:rPr>
        <w:t>On-slide content</w:t>
      </w:r>
    </w:p>
    <w:p>
      <w:pPr>
        <w:pStyle w:val="ListBullet"/>
        <w:spacing w:after="40"/>
      </w:pPr>
      <w:r>
        <w:rPr>
          <w:b w:val="0"/>
          <w:i w:val="0"/>
        </w:rPr>
        <w:t>Toy scale, stated plainly: n ≈ 2048, d = 64, L = 2–4, char-level, under 1M parameters.</w:t>
      </w:r>
    </w:p>
    <w:p>
      <w:pPr>
        <w:pStyle w:val="ListBullet"/>
        <w:spacing w:after="40"/>
      </w:pPr>
      <w:r>
        <w:rPr>
          <w:b w:val="0"/>
          <w:i w:val="0"/>
        </w:rPr>
        <w:t>Forward pass written by us in plain JavaScript. No ONNX, no TensorFlow.js.</w:t>
      </w:r>
    </w:p>
    <w:p>
      <w:pPr>
        <w:pStyle w:val="ListBullet"/>
        <w:spacing w:after="40"/>
      </w:pPr>
      <w:r>
        <w:rPr>
          <w:b/>
          <w:i w:val="0"/>
        </w:rPr>
        <w:t xml:space="preserve">Why that matters: </w:t>
      </w:r>
      <w:r>
        <w:rPr>
          <w:b w:val="0"/>
          <w:i w:val="0"/>
        </w:rPr>
        <w:t>every number on screen traces to a line of code we can open during questions.</w:t>
      </w:r>
    </w:p>
    <w:p>
      <w:pPr>
        <w:pStyle w:val="ListBullet"/>
        <w:spacing w:after="40"/>
      </w:pPr>
      <w:r>
        <w:rPr>
          <w:b w:val="0"/>
          <w:i w:val="0"/>
        </w:rPr>
        <w:t>Labelled reimplementation — not an official BDH model, and the UI says so.</w:t>
      </w:r>
    </w:p>
    <w:p>
      <w:pPr>
        <w:pStyle w:val="Heading3"/>
      </w:pPr>
      <w:r>
        <w:rPr>
          <w:b w:val="0"/>
          <w:i w:val="0"/>
        </w:rPr>
        <w:t>Visual</w:t>
      </w:r>
    </w:p>
    <w:p>
      <w:pPr>
        <w:spacing w:after="80"/>
      </w:pPr>
      <w:r>
        <w:rPr>
          <w:b w:val="0"/>
          <w:i w:val="0"/>
          <w:sz w:val="20"/>
        </w:rPr>
        <w:t>Live demo, not a screenshot. Type a prompt from the vocabulary palette, watch generation happen.</w:t>
      </w:r>
    </w:p>
    <w:p>
      <w:pPr>
        <w:pStyle w:val="Heading3"/>
      </w:pPr>
      <w:r>
        <w:rPr>
          <w:b w:val="0"/>
          <w:i w:val="0"/>
        </w:rPr>
        <w:t>Speaker notes</w:t>
      </w:r>
    </w:p>
    <w:p>
      <w:pPr>
        <w:spacing w:after="80"/>
      </w:pPr>
      <w:r>
        <w:rPr>
          <w:b w:val="0"/>
          <w:i w:val="0"/>
          <w:sz w:val="20"/>
        </w:rPr>
        <w:t>Do the demo here, not at the end. If the wifi dies, you have a recorded fallback — but say it is a recording. Note the deliberate choice to avoid a runtime library: a black box between us and the model would cost us exactly the ownership points we are being scored on.</w:t>
      </w:r>
    </w:p>
    <w:p>
      <w:pPr>
        <w:spacing w:after="200"/>
      </w:pPr>
      <w:r>
        <w:rPr>
          <w:b/>
          <w:i w:val="0"/>
          <w:color w:val="595959"/>
          <w:sz w:val="18"/>
        </w:rPr>
        <w:t xml:space="preserve">Serves: </w:t>
      </w:r>
      <w:r>
        <w:rPr>
          <w:b w:val="0"/>
          <w:i/>
          <w:color w:val="595959"/>
          <w:sz w:val="18"/>
        </w:rPr>
        <w:t>Interactive substrate and honesty (15) + technical ownership (15).</w:t>
      </w:r>
    </w:p>
    <w:p>
      <w:pPr>
        <w:pStyle w:val="Heading2"/>
      </w:pPr>
      <w:r>
        <w:rPr>
          <w:b w:val="0"/>
          <w:i w:val="0"/>
        </w:rPr>
        <w:t>Slide 6 — The experiment</w:t>
      </w:r>
    </w:p>
    <w:p>
      <w:pPr>
        <w:spacing w:after="100"/>
      </w:pPr>
      <w:r>
        <w:rPr>
          <w:b/>
          <w:i w:val="0"/>
          <w:color w:val="595959"/>
          <w:sz w:val="19"/>
        </w:rPr>
        <w:t xml:space="preserve">Headline on slide: </w:t>
      </w:r>
      <w:r>
        <w:rPr>
          <w:b w:val="0"/>
          <w:i/>
          <w:sz w:val="21"/>
        </w:rPr>
        <w:t>Two synthetic languages, a shared pivot, and one knob: how much they overlap.</w:t>
      </w:r>
    </w:p>
    <w:p>
      <w:pPr>
        <w:pStyle w:val="Heading3"/>
      </w:pPr>
      <w:r>
        <w:rPr>
          <w:b w:val="0"/>
          <w:i w:val="0"/>
        </w:rPr>
        <w:t>On-slide content</w:t>
      </w:r>
    </w:p>
    <w:p>
      <w:pPr>
        <w:pStyle w:val="ListBullet"/>
        <w:spacing w:after="40"/>
      </w:pPr>
      <w:r>
        <w:rPr>
          <w:b w:val="0"/>
          <w:i w:val="0"/>
        </w:rPr>
        <w:t>Parents: P→A and P→B, mirroring the paper’s En→Fr / En→Pt setup.</w:t>
      </w:r>
    </w:p>
    <w:p>
      <w:pPr>
        <w:pStyle w:val="ListBullet"/>
        <w:spacing w:after="40"/>
      </w:pPr>
      <w:r>
        <w:rPr>
          <w:b w:val="0"/>
          <w:i w:val="0"/>
        </w:rPr>
        <w:t>θ (designed overlap): 11 levels × 3 seeds = 33 pairs = 66 models trained.</w:t>
      </w:r>
    </w:p>
    <w:p>
      <w:pPr>
        <w:pStyle w:val="ListBullet"/>
        <w:spacing w:after="40"/>
      </w:pPr>
      <w:r>
        <w:rPr>
          <w:b w:val="0"/>
          <w:i w:val="0"/>
        </w:rPr>
        <w:t>M (measured overlap): Hungarian matching on neuron activation profiles after training.</w:t>
      </w:r>
    </w:p>
    <w:p>
      <w:pPr>
        <w:pStyle w:val="ListBullet"/>
        <w:spacing w:after="40"/>
      </w:pPr>
      <w:r>
        <w:rPr>
          <w:b w:val="0"/>
          <w:i w:val="0"/>
        </w:rPr>
        <w:t>Damage D = merged loss − parent loss, reported per direction, not just pooled.</w:t>
      </w:r>
    </w:p>
    <w:p>
      <w:pPr>
        <w:pStyle w:val="Heading3"/>
      </w:pPr>
      <w:r>
        <w:rPr>
          <w:b w:val="0"/>
          <w:i w:val="0"/>
        </w:rPr>
        <w:t>Visual</w:t>
      </w:r>
    </w:p>
    <w:p>
      <w:pPr>
        <w:spacing w:after="80"/>
      </w:pPr>
      <w:r>
        <w:rPr>
          <w:b w:val="0"/>
          <w:i w:val="0"/>
          <w:sz w:val="20"/>
        </w:rPr>
        <w:t>A schematic of the sweep: the θ grid on the left, arrows into 66 trained models, out to a single curve.</w:t>
      </w:r>
    </w:p>
    <w:p>
      <w:pPr>
        <w:pStyle w:val="Heading3"/>
      </w:pPr>
      <w:r>
        <w:rPr>
          <w:b w:val="0"/>
          <w:i w:val="0"/>
        </w:rPr>
        <w:t>Speaker notes</w:t>
      </w:r>
    </w:p>
    <w:p>
      <w:pPr>
        <w:spacing w:after="80"/>
      </w:pPr>
      <w:r>
        <w:rPr>
          <w:b w:val="0"/>
          <w:i w:val="0"/>
          <w:sz w:val="20"/>
        </w:rPr>
        <w:t>Make the θ-versus-M distinction explicitly. Plotting against θ alone would only show our data generator affects merging; plotting against measured M is what makes the claim about representations. A judge who knows experimental design will notice if you skip this.</w:t>
      </w:r>
    </w:p>
    <w:p>
      <w:pPr>
        <w:spacing w:after="200"/>
      </w:pPr>
      <w:r>
        <w:rPr>
          <w:b/>
          <w:i w:val="0"/>
          <w:color w:val="595959"/>
          <w:sz w:val="18"/>
        </w:rPr>
        <w:t xml:space="preserve">Serves: </w:t>
      </w:r>
      <w:r>
        <w:rPr>
          <w:b w:val="0"/>
          <w:i/>
          <w:color w:val="595959"/>
          <w:sz w:val="18"/>
        </w:rPr>
        <w:t>Technical correctness and depth (25).</w:t>
      </w:r>
    </w:p>
    <w:p>
      <w:pPr>
        <w:pStyle w:val="Heading2"/>
      </w:pPr>
      <w:r>
        <w:rPr>
          <w:b w:val="0"/>
          <w:i w:val="0"/>
        </w:rPr>
        <w:t>Slide 7 — Controls</w:t>
      </w:r>
    </w:p>
    <w:p>
      <w:pPr>
        <w:spacing w:after="100"/>
      </w:pPr>
      <w:r>
        <w:rPr>
          <w:b/>
          <w:i w:val="0"/>
          <w:color w:val="595959"/>
          <w:sz w:val="19"/>
        </w:rPr>
        <w:t xml:space="preserve">Headline on slide: </w:t>
      </w:r>
      <w:r>
        <w:rPr>
          <w:b w:val="0"/>
          <w:i/>
          <w:sz w:val="21"/>
        </w:rPr>
        <w:t>Four controls. This is what makes it an experiment instead of a demo.</w:t>
      </w:r>
    </w:p>
    <w:p>
      <w:pPr>
        <w:pStyle w:val="Heading3"/>
      </w:pPr>
      <w:r>
        <w:rPr>
          <w:b w:val="0"/>
          <w:i w:val="0"/>
        </w:rPr>
        <w:t>On-slide content</w:t>
      </w:r>
    </w:p>
    <w:p>
      <w:pPr>
        <w:pStyle w:val="ListBullet"/>
        <w:spacing w:after="40"/>
      </w:pPr>
      <w:r>
        <w:rPr>
          <w:b/>
          <w:i w:val="0"/>
        </w:rPr>
        <w:t xml:space="preserve">Averaging arm </w:t>
      </w:r>
      <w:r>
        <w:rPr>
          <w:b w:val="0"/>
          <w:i w:val="0"/>
        </w:rPr>
        <w:t>— rules out that any fusion would work.</w:t>
      </w:r>
    </w:p>
    <w:p>
      <w:pPr>
        <w:pStyle w:val="ListBullet"/>
        <w:spacing w:after="40"/>
      </w:pPr>
      <w:r>
        <w:rPr>
          <w:b/>
          <w:i w:val="0"/>
        </w:rPr>
        <w:t xml:space="preserve">Random-ablation baseline </w:t>
      </w:r>
      <w:r>
        <w:rPr>
          <w:b w:val="0"/>
          <w:i w:val="0"/>
        </w:rPr>
        <w:t>— rules out that ablating anything helps. Matched count.</w:t>
      </w:r>
    </w:p>
    <w:p>
      <w:pPr>
        <w:pStyle w:val="ListBullet"/>
        <w:spacing w:after="40"/>
      </w:pPr>
      <w:r>
        <w:rPr>
          <w:b/>
          <w:i w:val="0"/>
        </w:rPr>
        <w:t xml:space="preserve">Self-merge </w:t>
      </w:r>
      <w:r>
        <w:rPr>
          <w:b w:val="0"/>
          <w:i w:val="0"/>
        </w:rPr>
        <w:t>— the maximum-overlap floor.</w:t>
      </w:r>
    </w:p>
    <w:p>
      <w:pPr>
        <w:pStyle w:val="ListBullet"/>
        <w:spacing w:after="40"/>
      </w:pPr>
      <w:r>
        <w:rPr>
          <w:b/>
          <w:i w:val="0"/>
        </w:rPr>
        <w:t xml:space="preserve">Parameter-count control </w:t>
      </w:r>
      <w:r>
        <w:rPr>
          <w:b w:val="0"/>
          <w:i w:val="0"/>
        </w:rPr>
        <w:t>— merged 2n versus a single parent trained at 2n; rules out a pure size effect.</w:t>
      </w:r>
    </w:p>
    <w:p>
      <w:pPr>
        <w:pStyle w:val="Heading3"/>
      </w:pPr>
      <w:r>
        <w:rPr>
          <w:b w:val="0"/>
          <w:i w:val="0"/>
        </w:rPr>
        <w:t>Visual</w:t>
      </w:r>
    </w:p>
    <w:p>
      <w:pPr>
        <w:spacing w:after="80"/>
      </w:pPr>
      <w:r>
        <w:rPr>
          <w:b w:val="0"/>
          <w:i w:val="0"/>
          <w:sz w:val="20"/>
        </w:rPr>
        <w:t>A 2×2 grid of the four controls, each with a one-line "rules out ___" caption.</w:t>
      </w:r>
    </w:p>
    <w:p>
      <w:pPr>
        <w:pStyle w:val="Heading3"/>
      </w:pPr>
      <w:r>
        <w:rPr>
          <w:b w:val="0"/>
          <w:i w:val="0"/>
        </w:rPr>
        <w:t>Speaker notes</w:t>
      </w:r>
    </w:p>
    <w:p>
      <w:pPr>
        <w:spacing w:after="80"/>
      </w:pPr>
      <w:r>
        <w:rPr>
          <w:b w:val="0"/>
          <w:i w:val="0"/>
          <w:sz w:val="20"/>
        </w:rPr>
        <w:t>Spend real time here. Most hackathon projects have no controls at all, so this slide is a differentiator that costs you nothing to present. If time is short in the live round, the random-ablation baseline is the one to mention — without it, the surgery result means nothing.</w:t>
      </w:r>
    </w:p>
    <w:p>
      <w:pPr>
        <w:spacing w:after="200"/>
      </w:pPr>
      <w:r>
        <w:rPr>
          <w:b/>
          <w:i w:val="0"/>
          <w:color w:val="595959"/>
          <w:sz w:val="18"/>
        </w:rPr>
        <w:t xml:space="preserve">Serves: </w:t>
      </w:r>
      <w:r>
        <w:rPr>
          <w:b w:val="0"/>
          <w:i/>
          <w:color w:val="595959"/>
          <w:sz w:val="18"/>
        </w:rPr>
        <w:t>Technical correctness and depth (25) — the largest single criterion.</w:t>
      </w:r>
    </w:p>
    <w:p>
      <w:pPr>
        <w:pStyle w:val="Heading2"/>
      </w:pPr>
      <w:r>
        <w:rPr>
          <w:b w:val="0"/>
          <w:i w:val="0"/>
        </w:rPr>
        <w:t>Slide 8 — Result — the phase diagram</w:t>
      </w:r>
    </w:p>
    <w:p>
      <w:pPr>
        <w:spacing w:after="100"/>
      </w:pPr>
      <w:r>
        <w:rPr>
          <w:b/>
          <w:i w:val="0"/>
          <w:color w:val="595959"/>
          <w:sz w:val="19"/>
        </w:rPr>
        <w:t xml:space="preserve">Headline on slide: </w:t>
      </w:r>
      <w:r>
        <w:rPr>
          <w:b w:val="0"/>
          <w:i/>
          <w:sz w:val="21"/>
        </w:rPr>
        <w:t>Merging is free below __ overlap, and degrades sharply above it.</w:t>
      </w:r>
    </w:p>
    <w:p>
      <w:pPr>
        <w:spacing w:after="80"/>
      </w:pPr>
      <w:r>
        <w:rPr>
          <w:b/>
          <w:i w:val="0"/>
          <w:color w:val="9C2700"/>
          <w:sz w:val="18"/>
        </w:rPr>
        <w:t>[ FILL AFTER SWEEP COMPLETES — structure is fixed, numbers are not yet known ]</w:t>
      </w:r>
    </w:p>
    <w:p>
      <w:pPr>
        <w:pStyle w:val="Heading3"/>
      </w:pPr>
      <w:r>
        <w:rPr>
          <w:b w:val="0"/>
          <w:i w:val="0"/>
        </w:rPr>
        <w:t>On-slide content</w:t>
      </w:r>
    </w:p>
    <w:p>
      <w:pPr>
        <w:pStyle w:val="ListBullet"/>
        <w:spacing w:after="40"/>
      </w:pPr>
      <w:r>
        <w:rPr>
          <w:b w:val="0"/>
          <w:i w:val="0"/>
        </w:rPr>
        <w:t>The curve: measured overlap M on x, damage D on y, error bars across three seeds.</w:t>
      </w:r>
    </w:p>
    <w:p>
      <w:pPr>
        <w:pStyle w:val="ListBullet"/>
        <w:spacing w:after="40"/>
      </w:pPr>
      <w:r>
        <w:rPr>
          <w:b w:val="0"/>
          <w:i w:val="0"/>
        </w:rPr>
        <w:t>State the shape found, the transition point, and whether it is sharp or gradual.</w:t>
      </w:r>
    </w:p>
    <w:p>
      <w:pPr>
        <w:pStyle w:val="ListBullet"/>
        <w:spacing w:after="40"/>
      </w:pPr>
      <w:r>
        <w:rPr>
          <w:b w:val="0"/>
          <w:i w:val="0"/>
        </w:rPr>
        <w:t>Report the asymmetry: did translation into the shared pivot survive while translation out degraded, as the paper found at full scale?</w:t>
      </w:r>
    </w:p>
    <w:p>
      <w:pPr>
        <w:pStyle w:val="ListBullet"/>
        <w:spacing w:after="40"/>
      </w:pPr>
      <w:r>
        <w:rPr>
          <w:b w:val="0"/>
          <w:i w:val="0"/>
        </w:rPr>
        <w:t>If the curve is flat, say so — that contradicts the paper’s stated mechanism and is a finding, not a failure.</w:t>
      </w:r>
    </w:p>
    <w:p>
      <w:pPr>
        <w:pStyle w:val="Heading3"/>
      </w:pPr>
      <w:r>
        <w:rPr>
          <w:b w:val="0"/>
          <w:i w:val="0"/>
        </w:rPr>
        <w:t>Visual</w:t>
      </w:r>
    </w:p>
    <w:p>
      <w:pPr>
        <w:spacing w:after="80"/>
      </w:pPr>
      <w:r>
        <w:rPr>
          <w:b w:val="0"/>
          <w:i w:val="0"/>
          <w:sz w:val="20"/>
        </w:rPr>
        <w:t>The phase diagram, full width, with the averaging arm plotted underneath as a flat failure line for contrast.</w:t>
      </w:r>
    </w:p>
    <w:p>
      <w:pPr>
        <w:pStyle w:val="Heading3"/>
      </w:pPr>
      <w:r>
        <w:rPr>
          <w:b w:val="0"/>
          <w:i w:val="0"/>
        </w:rPr>
        <w:t>Speaker notes</w:t>
      </w:r>
    </w:p>
    <w:p>
      <w:pPr>
        <w:spacing w:after="80"/>
      </w:pPr>
      <w:r>
        <w:rPr>
          <w:b w:val="0"/>
          <w:i w:val="0"/>
          <w:sz w:val="20"/>
        </w:rPr>
        <w:t>This is the payload. Walk the curve left to right in words. Every point has an error bar; if a judge asks "how do you know that dip is real?", the answer is the seed variance, not "it looked like that."</w:t>
      </w:r>
    </w:p>
    <w:p>
      <w:pPr>
        <w:spacing w:after="200"/>
      </w:pPr>
      <w:r>
        <w:rPr>
          <w:b/>
          <w:i w:val="0"/>
          <w:color w:val="595959"/>
          <w:sz w:val="18"/>
        </w:rPr>
        <w:t xml:space="preserve">Serves: </w:t>
      </w:r>
      <w:r>
        <w:rPr>
          <w:b w:val="0"/>
          <w:i/>
          <w:color w:val="595959"/>
          <w:sz w:val="18"/>
        </w:rPr>
        <w:t>Technical correctness (25) + interactive substrate (15).</w:t>
      </w:r>
    </w:p>
    <w:p>
      <w:pPr>
        <w:pStyle w:val="Heading2"/>
      </w:pPr>
      <w:r>
        <w:rPr>
          <w:b w:val="0"/>
          <w:i w:val="0"/>
        </w:rPr>
        <w:t>Slide 9 — Result — localization and repair</w:t>
      </w:r>
    </w:p>
    <w:p>
      <w:pPr>
        <w:spacing w:after="100"/>
      </w:pPr>
      <w:r>
        <w:rPr>
          <w:b/>
          <w:i w:val="0"/>
          <w:color w:val="595959"/>
          <w:sz w:val="19"/>
        </w:rPr>
        <w:t xml:space="preserve">Headline on slide: </w:t>
      </w:r>
      <w:r>
        <w:rPr>
          <w:b w:val="0"/>
          <w:i/>
          <w:sz w:val="21"/>
        </w:rPr>
        <w:t>Where merging hurts, the damage is in identifiable neurons. Cut them and function returns.</w:t>
      </w:r>
    </w:p>
    <w:p>
      <w:pPr>
        <w:spacing w:after="80"/>
      </w:pPr>
      <w:r>
        <w:rPr>
          <w:b/>
          <w:i w:val="0"/>
          <w:color w:val="9C2700"/>
          <w:sz w:val="18"/>
        </w:rPr>
        <w:t>[ FILL AFTER SWEEP COMPLETES — structure is fixed, numbers are not yet known ]</w:t>
      </w:r>
    </w:p>
    <w:p>
      <w:pPr>
        <w:pStyle w:val="Heading3"/>
      </w:pPr>
      <w:r>
        <w:rPr>
          <w:b w:val="0"/>
          <w:i w:val="0"/>
        </w:rPr>
        <w:t>On-slide content</w:t>
      </w:r>
    </w:p>
    <w:p>
      <w:pPr>
        <w:pStyle w:val="ListBullet"/>
        <w:spacing w:after="40"/>
      </w:pPr>
      <w:r>
        <w:rPr>
          <w:b w:val="0"/>
          <w:i w:val="0"/>
        </w:rPr>
        <w:t>Collision neurons: active on both target languages, where the parent neuron was selective for one.</w:t>
      </w:r>
    </w:p>
    <w:p>
      <w:pPr>
        <w:pStyle w:val="ListBullet"/>
        <w:spacing w:after="40"/>
      </w:pPr>
      <w:r>
        <w:rPr>
          <w:b w:val="0"/>
          <w:i w:val="0"/>
        </w:rPr>
        <w:t>Ablate them → recovery of __ against a random-ablation baseline of __ at matched k.</w:t>
      </w:r>
    </w:p>
    <w:p>
      <w:pPr>
        <w:pStyle w:val="ListBullet"/>
        <w:spacing w:after="40"/>
      </w:pPr>
      <w:r>
        <w:rPr>
          <w:b w:val="0"/>
          <w:i w:val="0"/>
        </w:rPr>
        <w:t>The recovery curve as a function of k, including where over-ablation starts to hurt.</w:t>
      </w:r>
    </w:p>
    <w:p>
      <w:pPr>
        <w:pStyle w:val="ListBullet"/>
        <w:spacing w:after="40"/>
      </w:pPr>
      <w:r>
        <w:rPr>
          <w:b w:val="0"/>
          <w:i w:val="0"/>
        </w:rPr>
        <w:t>If localization does not beat random, report that — the phase diagram stands on its own.</w:t>
      </w:r>
    </w:p>
    <w:p>
      <w:pPr>
        <w:pStyle w:val="Heading3"/>
      </w:pPr>
      <w:r>
        <w:rPr>
          <w:b w:val="0"/>
          <w:i w:val="0"/>
        </w:rPr>
        <w:t>Visual</w:t>
      </w:r>
    </w:p>
    <w:p>
      <w:pPr>
        <w:spacing w:after="80"/>
      </w:pPr>
      <w:r>
        <w:rPr>
          <w:b w:val="0"/>
          <w:i w:val="0"/>
          <w:sz w:val="20"/>
        </w:rPr>
        <w:t>Neuron heat-map with collision neurons highlighted, then the same map post-ablation, with output text before and after side by side.</w:t>
      </w:r>
    </w:p>
    <w:p>
      <w:pPr>
        <w:pStyle w:val="Heading3"/>
      </w:pPr>
      <w:r>
        <w:rPr>
          <w:b w:val="0"/>
          <w:i w:val="0"/>
        </w:rPr>
        <w:t>Speaker notes</w:t>
      </w:r>
    </w:p>
    <w:p>
      <w:pPr>
        <w:spacing w:after="80"/>
      </w:pPr>
      <w:r>
        <w:rPr>
          <w:b w:val="0"/>
          <w:i w:val="0"/>
          <w:sz w:val="20"/>
        </w:rPr>
        <w:t>This is the moment the audience remembers: merge, watch it break, find the culprits, cut, watch it recover. Run it live. Always show the random baseline in the same breath — the result is the *difference*, not the recovery.</w:t>
      </w:r>
    </w:p>
    <w:p>
      <w:pPr>
        <w:spacing w:after="200"/>
      </w:pPr>
      <w:r>
        <w:rPr>
          <w:b/>
          <w:i w:val="0"/>
          <w:color w:val="595959"/>
          <w:sz w:val="18"/>
        </w:rPr>
        <w:t xml:space="preserve">Serves: </w:t>
      </w:r>
      <w:r>
        <w:rPr>
          <w:b w:val="0"/>
          <w:i/>
          <w:color w:val="595959"/>
          <w:sz w:val="18"/>
        </w:rPr>
        <w:t>Technical correctness (25) + learning effectiveness (15).</w:t>
      </w:r>
    </w:p>
    <w:p>
      <w:pPr>
        <w:pStyle w:val="Heading2"/>
      </w:pPr>
      <w:r>
        <w:rPr>
          <w:b w:val="0"/>
          <w:i w:val="0"/>
        </w:rPr>
        <w:t>Slide 10 — What is live, what is not</w:t>
      </w:r>
    </w:p>
    <w:p>
      <w:pPr>
        <w:spacing w:after="100"/>
      </w:pPr>
      <w:r>
        <w:rPr>
          <w:b/>
          <w:i w:val="0"/>
          <w:color w:val="595959"/>
          <w:sz w:val="19"/>
        </w:rPr>
        <w:t xml:space="preserve">Headline on slide: </w:t>
      </w:r>
      <w:r>
        <w:rPr>
          <w:b w:val="0"/>
          <w:i/>
          <w:sz w:val="21"/>
        </w:rPr>
        <w:t>Everything on screen is labelled: live computation, precomputed data, or illustration.</w:t>
      </w:r>
    </w:p>
    <w:p>
      <w:pPr>
        <w:pStyle w:val="Heading3"/>
      </w:pPr>
      <w:r>
        <w:rPr>
          <w:b w:val="0"/>
          <w:i w:val="0"/>
        </w:rPr>
        <w:t>On-slide content</w:t>
      </w:r>
    </w:p>
    <w:p>
      <w:pPr>
        <w:pStyle w:val="ListBullet"/>
        <w:spacing w:after="40"/>
      </w:pPr>
      <w:r>
        <w:rPr>
          <w:b w:val="0"/>
          <w:i w:val="0"/>
        </w:rPr>
        <w:t>Live: forward pass, both merge operations, neuron ablation.</w:t>
      </w:r>
    </w:p>
    <w:p>
      <w:pPr>
        <w:pStyle w:val="ListBullet"/>
        <w:spacing w:after="40"/>
      </w:pPr>
      <w:r>
        <w:rPr>
          <w:b w:val="0"/>
          <w:i w:val="0"/>
        </w:rPr>
        <w:t>Precomputed: the 66-model sweep, parent weights. Sixty-six models cannot train in a browser.</w:t>
      </w:r>
    </w:p>
    <w:p>
      <w:pPr>
        <w:pStyle w:val="ListBullet"/>
        <w:spacing w:after="40"/>
      </w:pPr>
      <w:r>
        <w:rPr>
          <w:b w:val="0"/>
          <w:i w:val="0"/>
        </w:rPr>
        <w:t>Illustration: only the opening explanatory diagram, and it says so on screen.</w:t>
      </w:r>
    </w:p>
    <w:p>
      <w:pPr>
        <w:pStyle w:val="ListBullet"/>
        <w:spacing w:after="40"/>
      </w:pPr>
      <w:r>
        <w:rPr>
          <w:b w:val="0"/>
          <w:i w:val="0"/>
        </w:rPr>
        <w:t>Stated caps: n capped at __, sequence length capped at __.</w:t>
      </w:r>
    </w:p>
    <w:p>
      <w:pPr>
        <w:pStyle w:val="Heading3"/>
      </w:pPr>
      <w:r>
        <w:rPr>
          <w:b w:val="0"/>
          <w:i w:val="0"/>
        </w:rPr>
        <w:t>Visual</w:t>
      </w:r>
    </w:p>
    <w:p>
      <w:pPr>
        <w:spacing w:after="80"/>
      </w:pPr>
      <w:r>
        <w:rPr>
          <w:b w:val="0"/>
          <w:i w:val="0"/>
          <w:sz w:val="20"/>
        </w:rPr>
        <w:t>The honesty table itself, straight from the README. Do not prettify it.</w:t>
      </w:r>
    </w:p>
    <w:p>
      <w:pPr>
        <w:pStyle w:val="Heading3"/>
      </w:pPr>
      <w:r>
        <w:rPr>
          <w:b w:val="0"/>
          <w:i w:val="0"/>
        </w:rPr>
        <w:t>Speaker notes</w:t>
      </w:r>
    </w:p>
    <w:p>
      <w:pPr>
        <w:spacing w:after="80"/>
      </w:pPr>
      <w:r>
        <w:rPr>
          <w:b w:val="0"/>
          <w:i w:val="0"/>
          <w:sz w:val="20"/>
        </w:rPr>
        <w:t>Volunteering this table unprompted is one of the cheapest points in the rubric. The PS explicitly scores whether teams distinguish real behaviour from precomputation and animation. Most teams will wait to be asked; put it on a slide.</w:t>
      </w:r>
    </w:p>
    <w:p>
      <w:pPr>
        <w:spacing w:after="200"/>
      </w:pPr>
      <w:r>
        <w:rPr>
          <w:b/>
          <w:i w:val="0"/>
          <w:color w:val="595959"/>
          <w:sz w:val="18"/>
        </w:rPr>
        <w:t xml:space="preserve">Serves: </w:t>
      </w:r>
      <w:r>
        <w:rPr>
          <w:b w:val="0"/>
          <w:i/>
          <w:color w:val="595959"/>
          <w:sz w:val="18"/>
        </w:rPr>
        <w:t>Interactive substrate and honesty (15).</w:t>
      </w:r>
    </w:p>
    <w:p>
      <w:pPr>
        <w:pStyle w:val="Heading2"/>
      </w:pPr>
      <w:r>
        <w:rPr>
          <w:b w:val="0"/>
          <w:i w:val="0"/>
        </w:rPr>
        <w:t>Slide 11 — Limits and evidence discipline</w:t>
      </w:r>
    </w:p>
    <w:p>
      <w:pPr>
        <w:spacing w:after="100"/>
      </w:pPr>
      <w:r>
        <w:rPr>
          <w:b/>
          <w:i w:val="0"/>
          <w:color w:val="595959"/>
          <w:sz w:val="19"/>
        </w:rPr>
        <w:t xml:space="preserve">Headline on slide: </w:t>
      </w:r>
      <w:r>
        <w:rPr>
          <w:b w:val="0"/>
          <w:i/>
          <w:sz w:val="21"/>
        </w:rPr>
        <w:t>What this does not show.</w:t>
      </w:r>
    </w:p>
    <w:p>
      <w:pPr>
        <w:pStyle w:val="Heading3"/>
      </w:pPr>
      <w:r>
        <w:rPr>
          <w:b w:val="0"/>
          <w:i w:val="0"/>
        </w:rPr>
        <w:t>On-slide content</w:t>
      </w:r>
    </w:p>
    <w:p>
      <w:pPr>
        <w:pStyle w:val="ListBullet"/>
        <w:spacing w:after="40"/>
      </w:pPr>
      <w:r>
        <w:rPr>
          <w:b w:val="0"/>
          <w:i w:val="0"/>
        </w:rPr>
        <w:t>Toy scale: ~1M parameters. This does not speak for the 600B-parameter pretraining runs.</w:t>
      </w:r>
    </w:p>
    <w:p>
      <w:pPr>
        <w:pStyle w:val="ListBullet"/>
        <w:spacing w:after="40"/>
      </w:pPr>
      <w:r>
        <w:rPr>
          <w:b w:val="0"/>
          <w:i w:val="0"/>
        </w:rPr>
        <w:t>Our reimplementation is labelled as such and is not an official BDH model.</w:t>
      </w:r>
    </w:p>
    <w:p>
      <w:pPr>
        <w:pStyle w:val="ListBullet"/>
        <w:spacing w:after="40"/>
      </w:pPr>
      <w:r>
        <w:rPr>
          <w:b w:val="0"/>
          <w:i w:val="0"/>
        </w:rPr>
        <w:t>The paper’s Table 2 is their result, at their scale — cited, not reproduced by us.</w:t>
      </w:r>
    </w:p>
    <w:p>
      <w:pPr>
        <w:pStyle w:val="ListBullet"/>
        <w:spacing w:after="40"/>
      </w:pPr>
      <w:r>
        <w:rPr>
          <w:b w:val="0"/>
          <w:i w:val="0"/>
        </w:rPr>
        <w:t>The most important open question we could not answer, named explicitly.</w:t>
      </w:r>
    </w:p>
    <w:p>
      <w:pPr>
        <w:pStyle w:val="Heading3"/>
      </w:pPr>
      <w:r>
        <w:rPr>
          <w:b w:val="0"/>
          <w:i w:val="0"/>
        </w:rPr>
        <w:t>Visual</w:t>
      </w:r>
    </w:p>
    <w:p>
      <w:pPr>
        <w:spacing w:after="80"/>
      </w:pPr>
      <w:r>
        <w:rPr>
          <w:b w:val="0"/>
          <w:i w:val="0"/>
          <w:sz w:val="20"/>
        </w:rPr>
        <w:t>Plain text. No visual. The absence of decoration is the point.</w:t>
      </w:r>
    </w:p>
    <w:p>
      <w:pPr>
        <w:pStyle w:val="Heading3"/>
      </w:pPr>
      <w:r>
        <w:rPr>
          <w:b w:val="0"/>
          <w:i w:val="0"/>
        </w:rPr>
        <w:t>Speaker notes</w:t>
      </w:r>
    </w:p>
    <w:p>
      <w:pPr>
        <w:spacing w:after="80"/>
      </w:pPr>
      <w:r>
        <w:rPr>
          <w:b w:val="0"/>
          <w:i w:val="0"/>
          <w:sz w:val="20"/>
        </w:rPr>
        <w:t>Name a real limitation, not a fake-humble one. The PS defines a strong submission as one with a disclosed limitation, and penalises overclaiming heavily. If the toy scale failed to reproduce the paper’s asymmetry, this is where that goes — as an honest difference between reimplementation and published system.</w:t>
      </w:r>
    </w:p>
    <w:p>
      <w:pPr>
        <w:spacing w:after="200"/>
      </w:pPr>
      <w:r>
        <w:rPr>
          <w:b/>
          <w:i w:val="0"/>
          <w:color w:val="595959"/>
          <w:sz w:val="18"/>
        </w:rPr>
        <w:t xml:space="preserve">Serves: </w:t>
      </w:r>
      <w:r>
        <w:rPr>
          <w:b w:val="0"/>
          <w:i/>
          <w:color w:val="595959"/>
          <w:sz w:val="18"/>
        </w:rPr>
        <w:t>BDH integration and evidence discipline (10) + technical correctness (25).</w:t>
      </w:r>
    </w:p>
    <w:p>
      <w:pPr>
        <w:pStyle w:val="Heading2"/>
      </w:pPr>
      <w:r>
        <w:rPr>
          <w:b w:val="0"/>
          <w:i w:val="0"/>
        </w:rPr>
        <w:t>Slide 12 — The learning journey</w:t>
      </w:r>
    </w:p>
    <w:p>
      <w:pPr>
        <w:spacing w:after="100"/>
      </w:pPr>
      <w:r>
        <w:rPr>
          <w:b/>
          <w:i w:val="0"/>
          <w:color w:val="595959"/>
          <w:sz w:val="19"/>
        </w:rPr>
        <w:t xml:space="preserve">Headline on slide: </w:t>
      </w:r>
      <w:r>
        <w:rPr>
          <w:b w:val="0"/>
          <w:i/>
          <w:sz w:val="21"/>
        </w:rPr>
        <w:t>Four acts, sixty seconds to the first real understanding.</w:t>
      </w:r>
    </w:p>
    <w:p>
      <w:pPr>
        <w:pStyle w:val="Heading3"/>
      </w:pPr>
      <w:r>
        <w:rPr>
          <w:b w:val="0"/>
          <w:i w:val="0"/>
        </w:rPr>
        <w:t>On-slide content</w:t>
      </w:r>
    </w:p>
    <w:p>
      <w:pPr>
        <w:pStyle w:val="ListBullet"/>
        <w:spacing w:after="40"/>
      </w:pPr>
      <w:r>
        <w:rPr>
          <w:b w:val="0"/>
          <w:i w:val="0"/>
        </w:rPr>
        <w:t>Act 1 fuse → Act 2 concat vs average → Act 3 drag the phase diagram → Act 4 surgery.</w:t>
      </w:r>
    </w:p>
    <w:p>
      <w:pPr>
        <w:pStyle w:val="ListBullet"/>
        <w:spacing w:after="40"/>
      </w:pPr>
      <w:r>
        <w:rPr>
          <w:b w:val="0"/>
          <w:i w:val="0"/>
        </w:rPr>
        <w:t>Audience and prerequisites, stated: who this is for and what they need to know first.</w:t>
      </w:r>
    </w:p>
    <w:p>
      <w:pPr>
        <w:pStyle w:val="ListBullet"/>
        <w:spacing w:after="40"/>
      </w:pPr>
      <w:r>
        <w:rPr>
          <w:b w:val="0"/>
          <w:i w:val="0"/>
        </w:rPr>
        <w:t>What is reusable after the hackathon: the merge sandbox and the overlap metric.</w:t>
      </w:r>
    </w:p>
    <w:p>
      <w:pPr>
        <w:pStyle w:val="ListBullet"/>
        <w:spacing w:after="40"/>
      </w:pPr>
      <w:r>
        <w:rPr>
          <w:b w:val="0"/>
          <w:i w:val="0"/>
        </w:rPr>
        <w:t>Artifact URL, repo URL, one-page summary — large, on the final slide, left on screen for Q&amp;A.</w:t>
      </w:r>
    </w:p>
    <w:p>
      <w:pPr>
        <w:pStyle w:val="Heading3"/>
      </w:pPr>
      <w:r>
        <w:rPr>
          <w:b w:val="0"/>
          <w:i w:val="0"/>
        </w:rPr>
        <w:t>Visual</w:t>
      </w:r>
    </w:p>
    <w:p>
      <w:pPr>
        <w:spacing w:after="80"/>
      </w:pPr>
      <w:r>
        <w:rPr>
          <w:b w:val="0"/>
          <w:i w:val="0"/>
          <w:sz w:val="20"/>
        </w:rPr>
        <w:t>The four acts as a horizontal strip of four screenshots, then the URLs.</w:t>
      </w:r>
    </w:p>
    <w:p>
      <w:pPr>
        <w:pStyle w:val="Heading3"/>
      </w:pPr>
      <w:r>
        <w:rPr>
          <w:b w:val="0"/>
          <w:i w:val="0"/>
        </w:rPr>
        <w:t>Speaker notes</w:t>
      </w:r>
    </w:p>
    <w:p>
      <w:pPr>
        <w:spacing w:after="80"/>
      </w:pPr>
      <w:r>
        <w:rPr>
          <w:b w:val="0"/>
          <w:i w:val="0"/>
          <w:sz w:val="20"/>
        </w:rPr>
        <w:t>Close on the reusable substrate — the PS defines "exceptional" as a reusable substrate or a resource people keep using afterwards. Leave this slide up during questions so judges can read the URL while they ask.</w:t>
      </w:r>
    </w:p>
    <w:p>
      <w:pPr>
        <w:spacing w:after="200"/>
      </w:pPr>
      <w:r>
        <w:rPr>
          <w:b/>
          <w:i w:val="0"/>
          <w:color w:val="595959"/>
          <w:sz w:val="18"/>
        </w:rPr>
        <w:t xml:space="preserve">Serves: </w:t>
      </w:r>
      <w:r>
        <w:rPr>
          <w:b w:val="0"/>
          <w:i/>
          <w:color w:val="595959"/>
          <w:sz w:val="18"/>
        </w:rPr>
        <w:t>Learning effectiveness (15) + craft and provenance (10).</w:t>
      </w:r>
    </w:p>
    <w:p>
      <w:r>
        <w:br w:type="page"/>
      </w:r>
    </w:p>
    <w:p>
      <w:pPr>
        <w:pStyle w:val="Heading1"/>
      </w:pPr>
      <w:r>
        <w:rPr>
          <w:b w:val="0"/>
          <w:i w:val="0"/>
        </w:rPr>
        <w:t>Coverage check — slides against the seven criteria</w:t>
      </w:r>
    </w:p>
    <w:tbl>
      <w:tblPr>
        <w:tblStyle w:val="TableGrid"/>
        <w:tblW w:type="auto" w:w="0"/>
        <w:jc w:val="center"/>
        <w:tblLook w:firstColumn="1" w:firstRow="1" w:lastColumn="0" w:lastRow="0" w:noHBand="0" w:noVBand="1" w:val="04A0"/>
      </w:tblPr>
      <w:tblGrid>
        <w:gridCol w:w="2880"/>
        <w:gridCol w:w="2880"/>
        <w:gridCol w:w="2880"/>
      </w:tblGrid>
      <w:tr>
        <w:tc>
          <w:tcPr>
            <w:tcW w:type="dxa" w:w="4176"/>
            <w:shd w:val="clear" w:color="auto" w:fill="1F4E79"/>
          </w:tcPr>
          <w:p>
            <w:r/>
            <w:r>
              <w:rPr>
                <w:b/>
                <w:color w:val="FFFFFF"/>
                <w:sz w:val="17"/>
              </w:rPr>
              <w:t>Criterion</w:t>
            </w:r>
          </w:p>
        </w:tc>
        <w:tc>
          <w:tcPr>
            <w:tcW w:type="dxa" w:w="720"/>
            <w:shd w:val="clear" w:color="auto" w:fill="1F4E79"/>
          </w:tcPr>
          <w:p>
            <w:r/>
            <w:r>
              <w:rPr>
                <w:b/>
                <w:color w:val="FFFFFF"/>
                <w:sz w:val="17"/>
              </w:rPr>
              <w:t>Pts</w:t>
            </w:r>
          </w:p>
        </w:tc>
        <w:tc>
          <w:tcPr>
            <w:tcW w:type="dxa" w:w="4752"/>
            <w:shd w:val="clear" w:color="auto" w:fill="1F4E79"/>
          </w:tcPr>
          <w:p>
            <w:r/>
            <w:r>
              <w:rPr>
                <w:b/>
                <w:color w:val="FFFFFF"/>
                <w:sz w:val="17"/>
              </w:rPr>
              <w:t>Slides carrying it</w:t>
            </w:r>
          </w:p>
        </w:tc>
      </w:tr>
      <w:tr>
        <w:tc>
          <w:tcPr>
            <w:tcW w:type="dxa" w:w="4176"/>
          </w:tcPr>
          <w:p>
            <w:pPr>
              <w:spacing w:after="40"/>
            </w:pPr>
            <w:r/>
            <w:r>
              <w:rPr>
                <w:b w:val="0"/>
                <w:sz w:val="17"/>
              </w:rPr>
              <w:t>Technical correctness and depth</w:t>
            </w:r>
          </w:p>
        </w:tc>
        <w:tc>
          <w:tcPr>
            <w:tcW w:type="dxa" w:w="720"/>
          </w:tcPr>
          <w:p>
            <w:pPr>
              <w:spacing w:after="40"/>
            </w:pPr>
            <w:r/>
            <w:r>
              <w:rPr>
                <w:b w:val="0"/>
                <w:sz w:val="17"/>
              </w:rPr>
              <w:t>25</w:t>
            </w:r>
          </w:p>
        </w:tc>
        <w:tc>
          <w:tcPr>
            <w:tcW w:type="dxa" w:w="4752"/>
          </w:tcPr>
          <w:p>
            <w:pPr>
              <w:spacing w:after="40"/>
            </w:pPr>
            <w:r/>
            <w:r>
              <w:rPr>
                <w:b w:val="0"/>
                <w:sz w:val="17"/>
              </w:rPr>
              <w:t>3, 4, 6, 7, 8, 9, 11</w:t>
            </w:r>
          </w:p>
        </w:tc>
      </w:tr>
      <w:tr>
        <w:tc>
          <w:tcPr>
            <w:tcW w:type="dxa" w:w="4176"/>
            <w:shd w:val="clear" w:color="auto" w:fill="F2F6FA"/>
          </w:tcPr>
          <w:p>
            <w:pPr>
              <w:spacing w:after="40"/>
            </w:pPr>
            <w:r/>
            <w:r>
              <w:rPr>
                <w:b w:val="0"/>
                <w:sz w:val="17"/>
              </w:rPr>
              <w:t>Technical ownership and live defence</w:t>
            </w:r>
          </w:p>
        </w:tc>
        <w:tc>
          <w:tcPr>
            <w:tcW w:type="dxa" w:w="720"/>
            <w:shd w:val="clear" w:color="auto" w:fill="F2F6FA"/>
          </w:tcPr>
          <w:p>
            <w:pPr>
              <w:spacing w:after="40"/>
            </w:pPr>
            <w:r/>
            <w:r>
              <w:rPr>
                <w:b w:val="0"/>
                <w:sz w:val="17"/>
              </w:rPr>
              <w:t>15</w:t>
            </w:r>
          </w:p>
        </w:tc>
        <w:tc>
          <w:tcPr>
            <w:tcW w:type="dxa" w:w="4752"/>
            <w:shd w:val="clear" w:color="auto" w:fill="F2F6FA"/>
          </w:tcPr>
          <w:p>
            <w:pPr>
              <w:spacing w:after="40"/>
            </w:pPr>
            <w:r/>
            <w:r>
              <w:rPr>
                <w:b w:val="0"/>
                <w:sz w:val="17"/>
              </w:rPr>
              <w:t>5, 7, 9 — and the Q&amp;A, which no slide can carry for you</w:t>
            </w:r>
          </w:p>
        </w:tc>
      </w:tr>
      <w:tr>
        <w:tc>
          <w:tcPr>
            <w:tcW w:type="dxa" w:w="4176"/>
          </w:tcPr>
          <w:p>
            <w:pPr>
              <w:spacing w:after="40"/>
            </w:pPr>
            <w:r/>
            <w:r>
              <w:rPr>
                <w:b w:val="0"/>
                <w:sz w:val="17"/>
              </w:rPr>
              <w:t>Learning effectiveness</w:t>
            </w:r>
          </w:p>
        </w:tc>
        <w:tc>
          <w:tcPr>
            <w:tcW w:type="dxa" w:w="720"/>
          </w:tcPr>
          <w:p>
            <w:pPr>
              <w:spacing w:after="40"/>
            </w:pPr>
            <w:r/>
            <w:r>
              <w:rPr>
                <w:b w:val="0"/>
                <w:sz w:val="17"/>
              </w:rPr>
              <w:t>15</w:t>
            </w:r>
          </w:p>
        </w:tc>
        <w:tc>
          <w:tcPr>
            <w:tcW w:type="dxa" w:w="4752"/>
          </w:tcPr>
          <w:p>
            <w:pPr>
              <w:spacing w:after="40"/>
            </w:pPr>
            <w:r/>
            <w:r>
              <w:rPr>
                <w:b w:val="0"/>
                <w:sz w:val="17"/>
              </w:rPr>
              <w:t>2, 9, 12</w:t>
            </w:r>
          </w:p>
        </w:tc>
      </w:tr>
      <w:tr>
        <w:tc>
          <w:tcPr>
            <w:tcW w:type="dxa" w:w="4176"/>
            <w:shd w:val="clear" w:color="auto" w:fill="F2F6FA"/>
          </w:tcPr>
          <w:p>
            <w:pPr>
              <w:spacing w:after="40"/>
            </w:pPr>
            <w:r/>
            <w:r>
              <w:rPr>
                <w:b w:val="0"/>
                <w:sz w:val="17"/>
              </w:rPr>
              <w:t>Interactive substrate and honesty</w:t>
            </w:r>
          </w:p>
        </w:tc>
        <w:tc>
          <w:tcPr>
            <w:tcW w:type="dxa" w:w="720"/>
            <w:shd w:val="clear" w:color="auto" w:fill="F2F6FA"/>
          </w:tcPr>
          <w:p>
            <w:pPr>
              <w:spacing w:after="40"/>
            </w:pPr>
            <w:r/>
            <w:r>
              <w:rPr>
                <w:b w:val="0"/>
                <w:sz w:val="17"/>
              </w:rPr>
              <w:t>15</w:t>
            </w:r>
          </w:p>
        </w:tc>
        <w:tc>
          <w:tcPr>
            <w:tcW w:type="dxa" w:w="4752"/>
            <w:shd w:val="clear" w:color="auto" w:fill="F2F6FA"/>
          </w:tcPr>
          <w:p>
            <w:pPr>
              <w:spacing w:after="40"/>
            </w:pPr>
            <w:r/>
            <w:r>
              <w:rPr>
                <w:b w:val="0"/>
                <w:sz w:val="17"/>
              </w:rPr>
              <w:t>5, 8, 10</w:t>
            </w:r>
          </w:p>
        </w:tc>
      </w:tr>
      <w:tr>
        <w:tc>
          <w:tcPr>
            <w:tcW w:type="dxa" w:w="4176"/>
          </w:tcPr>
          <w:p>
            <w:pPr>
              <w:spacing w:after="40"/>
            </w:pPr>
            <w:r/>
            <w:r>
              <w:rPr>
                <w:b w:val="0"/>
                <w:sz w:val="17"/>
              </w:rPr>
              <w:t>BDH / BDH-CQ integration and evidence discipline</w:t>
            </w:r>
          </w:p>
        </w:tc>
        <w:tc>
          <w:tcPr>
            <w:tcW w:type="dxa" w:w="720"/>
          </w:tcPr>
          <w:p>
            <w:pPr>
              <w:spacing w:after="40"/>
            </w:pPr>
            <w:r/>
            <w:r>
              <w:rPr>
                <w:b w:val="0"/>
                <w:sz w:val="17"/>
              </w:rPr>
              <w:t>10</w:t>
            </w:r>
          </w:p>
        </w:tc>
        <w:tc>
          <w:tcPr>
            <w:tcW w:type="dxa" w:w="4752"/>
          </w:tcPr>
          <w:p>
            <w:pPr>
              <w:spacing w:after="40"/>
            </w:pPr>
            <w:r/>
            <w:r>
              <w:rPr>
                <w:b w:val="0"/>
                <w:sz w:val="17"/>
              </w:rPr>
              <w:t>3, 4, 11</w:t>
            </w:r>
          </w:p>
        </w:tc>
      </w:tr>
      <w:tr>
        <w:tc>
          <w:tcPr>
            <w:tcW w:type="dxa" w:w="4176"/>
            <w:shd w:val="clear" w:color="auto" w:fill="F2F6FA"/>
          </w:tcPr>
          <w:p>
            <w:pPr>
              <w:spacing w:after="40"/>
            </w:pPr>
            <w:r/>
            <w:r>
              <w:rPr>
                <w:b w:val="0"/>
                <w:sz w:val="17"/>
              </w:rPr>
              <w:t>Craft, robustness, accessibility, provenance</w:t>
            </w:r>
          </w:p>
        </w:tc>
        <w:tc>
          <w:tcPr>
            <w:tcW w:type="dxa" w:w="720"/>
            <w:shd w:val="clear" w:color="auto" w:fill="F2F6FA"/>
          </w:tcPr>
          <w:p>
            <w:pPr>
              <w:spacing w:after="40"/>
            </w:pPr>
            <w:r/>
            <w:r>
              <w:rPr>
                <w:b w:val="0"/>
                <w:sz w:val="17"/>
              </w:rPr>
              <w:t>10</w:t>
            </w:r>
          </w:p>
        </w:tc>
        <w:tc>
          <w:tcPr>
            <w:tcW w:type="dxa" w:w="4752"/>
            <w:shd w:val="clear" w:color="auto" w:fill="F2F6FA"/>
          </w:tcPr>
          <w:p>
            <w:pPr>
              <w:spacing w:after="40"/>
            </w:pPr>
            <w:r/>
            <w:r>
              <w:rPr>
                <w:b w:val="0"/>
                <w:sz w:val="17"/>
              </w:rPr>
              <w:t>1, 12 — plus the artifact itself</w:t>
            </w:r>
          </w:p>
        </w:tc>
      </w:tr>
      <w:tr>
        <w:tc>
          <w:tcPr>
            <w:tcW w:type="dxa" w:w="4176"/>
          </w:tcPr>
          <w:p>
            <w:pPr>
              <w:spacing w:after="40"/>
            </w:pPr>
            <w:r/>
            <w:r>
              <w:rPr>
                <w:b w:val="0"/>
                <w:sz w:val="17"/>
              </w:rPr>
              <w:t>One-page concept summary</w:t>
            </w:r>
          </w:p>
        </w:tc>
        <w:tc>
          <w:tcPr>
            <w:tcW w:type="dxa" w:w="720"/>
          </w:tcPr>
          <w:p>
            <w:pPr>
              <w:spacing w:after="40"/>
            </w:pPr>
            <w:r/>
            <w:r>
              <w:rPr>
                <w:b w:val="0"/>
                <w:sz w:val="17"/>
              </w:rPr>
              <w:t>10</w:t>
            </w:r>
          </w:p>
        </w:tc>
        <w:tc>
          <w:tcPr>
            <w:tcW w:type="dxa" w:w="4752"/>
          </w:tcPr>
          <w:p>
            <w:pPr>
              <w:spacing w:after="40"/>
            </w:pPr>
            <w:r/>
            <w:r>
              <w:rPr>
                <w:b w:val="0"/>
                <w:sz w:val="17"/>
              </w:rPr>
              <w:t>Not a slide. Separate PDF deliverable.</w:t>
            </w:r>
          </w:p>
        </w:tc>
      </w:tr>
    </w:tbl>
    <w:p>
      <w:pPr>
        <w:spacing w:after="60"/>
      </w:pP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b/>
                <w:color w:val="9C2700"/>
                <w:sz w:val="19"/>
              </w:rPr>
              <w:t>The 15 points no deck can win for you</w:t>
            </w:r>
          </w:p>
          <w:p>
            <w:pPr>
              <w:spacing w:after="40"/>
            </w:pPr>
            <w:r>
              <w:rPr>
                <w:sz w:val="19"/>
              </w:rPr>
              <w:t>Technical ownership and live defence is judged on whether you can trace the system, predict the result of changes, and distinguish real behaviour from precomputation — under questioning. Rehearse this: each member should be able to answer "what happens to the curve if we double n?" or "what if you ablate 200 random neurons instead of the 50 collision ones?" cold, without opening the laptop. Budget Day 7 for it.</w:t>
            </w:r>
          </w:p>
        </w:tc>
      </w:tr>
    </w:tbl>
    <w:p>
      <w:pPr>
        <w:spacing w:after="60"/>
      </w:pPr>
    </w:p>
    <w:p>
      <w:pPr>
        <w:pStyle w:val="Heading1"/>
      </w:pPr>
      <w:r>
        <w:rPr>
          <w:b w:val="0"/>
          <w:i w:val="0"/>
        </w:rPr>
        <w:t>Timing</w:t>
      </w:r>
    </w:p>
    <w:p>
      <w:pPr>
        <w:spacing w:after="160"/>
      </w:pPr>
      <w:r>
        <w:rPr>
          <w:b w:val="0"/>
          <w:i w:val="0"/>
        </w:rPr>
        <w:t>For a 5-minute pitch: slides 1, 2, 3, 5 (live demo), 8, 9, 12. Cut 4, 6, 7, 10, 11 and hold them as answers for Q&amp;A — they are exactly what gets asked. For a 10-minute slot, run all twelve at roughly 45 seconds each, with 90 seconds on the live demo in slide 5 and 60 on slide 9.</w:t>
      </w:r>
    </w:p>
    <w:p>
      <w:pPr>
        <w:pStyle w:val="Heading1"/>
      </w:pPr>
      <w:r>
        <w:rPr>
          <w:b w:val="0"/>
          <w:i w:val="0"/>
        </w:rPr>
        <w:t>Sources</w:t>
      </w:r>
    </w:p>
    <w:p>
      <w:pPr>
        <w:spacing w:after="80"/>
      </w:pPr>
      <w:r>
        <w:rPr>
          <w:b/>
          <w:i w:val="0"/>
          <w:sz w:val="18"/>
        </w:rPr>
        <w:t>Dragon Hatchling — Kosowski et al. §7.1 merging, §3.2 architecture, §6.2 monosemanticity</w:t>
        <w:br/>
      </w:r>
      <w:r>
        <w:rPr>
          <w:b w:val="0"/>
          <w:i w:val="0"/>
          <w:color w:val="595959"/>
          <w:sz w:val="18"/>
        </w:rPr>
        <w:t>arXiv:2509.26507</w:t>
      </w:r>
    </w:p>
    <w:p>
      <w:pPr>
        <w:spacing w:after="80"/>
      </w:pPr>
      <w:r>
        <w:rPr>
          <w:b/>
          <w:i w:val="0"/>
          <w:sz w:val="18"/>
        </w:rPr>
        <w:t>Official BDH implementation (toy) — MIT licence</w:t>
        <w:br/>
      </w:r>
      <w:r>
        <w:rPr>
          <w:b w:val="0"/>
          <w:i w:val="0"/>
          <w:color w:val="595959"/>
          <w:sz w:val="18"/>
        </w:rPr>
        <w:t>https://github.com/pathwaycom/bdh</w:t>
      </w:r>
    </w:p>
    <w:p>
      <w:pPr>
        <w:spacing w:after="80"/>
      </w:pPr>
      <w:r>
        <w:rPr>
          <w:b/>
          <w:i w:val="0"/>
          <w:sz w:val="18"/>
        </w:rPr>
        <w:t>DataForge revised problem statement — design standards p.9, judging criteria p.09</w:t>
        <w:br/>
      </w:r>
      <w:r>
        <w:rPr>
          <w:b w:val="0"/>
          <w:i w:val="0"/>
          <w:color w:val="595959"/>
          <w:sz w:val="18"/>
        </w:rPr>
        <w:t>ps/Pathway PS_revised.pdf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