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6F5C"/>
          <w:sz w:val="30"/>
        </w:rPr>
        <w:t>Model Surgery: a plain-language primer</w:t>
      </w:r>
    </w:p>
    <w:p>
      <w:pPr>
        <w:spacing w:after="140"/>
      </w:pPr>
      <w:r>
        <w:rPr>
          <w:i/>
          <w:color w:val="605D57"/>
          <w:sz w:val="18"/>
        </w:rPr>
        <w:t>What BDH is, how merging two models works, and why any of it is new. Written for someone who has not read the problem statement. Team Invariance, IIT Kharagpur.</w:t>
      </w:r>
    </w:p>
    <w:p>
      <w:pPr>
        <w:spacing w:before="140" w:after="40"/>
      </w:pPr>
      <w:r>
        <w:rPr>
          <w:b/>
          <w:color w:val="1F6F5C"/>
          <w:sz w:val="21"/>
        </w:rPr>
        <w:t>1. The problem with how today's models remember</w:t>
      </w:r>
    </w:p>
    <w:p>
      <w:pPr>
        <w:spacing w:after="80"/>
      </w:pPr>
      <w:r>
        <w:rPr>
          <w:b w:val="0"/>
        </w:rPr>
        <w:t xml:space="preserve">A Transformer — the architecture behind essentially every chatbot you have used — reads text by comparing every word to every other word. To answer about word 500 it keeps all 499 earlier words in a scratchpad called the </w:t>
      </w:r>
      <w:r>
        <w:rPr>
          <w:b/>
        </w:rPr>
        <w:t>KV cache</w:t>
      </w:r>
      <w:r>
        <w:rPr>
          <w:b w:val="0"/>
        </w:rPr>
        <w:t>. That scratchpad grows with every token. Longer conversation, more memory, slower replies. Memory and reasoning also live in different places: the weights hold what the model learned in training, the cache holds what it read a second ago, and the two never really become one thing.</w:t>
      </w:r>
    </w:p>
    <w:p>
      <w:pPr>
        <w:spacing w:before="140" w:after="40"/>
      </w:pPr>
      <w:r>
        <w:rPr>
          <w:b/>
          <w:color w:val="1F6F5C"/>
          <w:sz w:val="21"/>
        </w:rPr>
        <w:t>2. What BDH does differently</w:t>
      </w:r>
    </w:p>
    <w:p>
      <w:pPr>
        <w:spacing w:after="80"/>
      </w:pPr>
      <w:r>
        <w:rPr>
          <w:b w:val="0"/>
        </w:rPr>
        <w:t xml:space="preserve">Dragon Hatchling (BDH, Pathway, arXiv:2509.26507) is a </w:t>
      </w:r>
      <w:r>
        <w:rPr>
          <w:b/>
        </w:rPr>
        <w:t>post-Transformer</w:t>
      </w:r>
      <w:r>
        <w:rPr>
          <w:b w:val="0"/>
        </w:rPr>
        <w:t xml:space="preserve"> architecture that borrows its shape from a brain instead. Picture a population of </w:t>
      </w:r>
      <w:r>
        <w:rPr>
          <w:b/>
        </w:rPr>
        <w:t>neurons</w:t>
      </w:r>
      <w:r>
        <w:rPr>
          <w:b w:val="0"/>
        </w:rPr>
        <w:t xml:space="preserve"> wired to each other by </w:t>
      </w:r>
      <w:r>
        <w:rPr>
          <w:b/>
        </w:rPr>
        <w:t>synapses</w:t>
      </w:r>
      <w:r>
        <w:rPr>
          <w:b w:val="0"/>
        </w:rPr>
        <w:t xml:space="preserve">. When the model reads, connections between co-active neurons briefly strengthen — a Hebbian "fire together, wire together" update. That strengthening </w:t>
      </w:r>
      <w:r>
        <w:rPr>
          <w:b/>
        </w:rPr>
        <w:t>is</w:t>
      </w:r>
      <w:r>
        <w:rPr>
          <w:b w:val="0"/>
        </w:rPr>
        <w:t xml:space="preserve"> the model's short-term memory. Attention is not a separate lookup over a growing cache; it is the current state of the wiring. Memory and reasoning share one fabric.</w:t>
      </w:r>
    </w:p>
    <w:p>
      <w:pPr>
        <w:spacing w:after="80"/>
      </w:pPr>
      <w:r>
        <w:rPr>
          <w:b w:val="0"/>
        </w:rPr>
        <w:t xml:space="preserve">The consequence that matters for this project is structural. In BDH every parameter hangs off one uniform axis — the neuron count </w:t>
      </w:r>
      <w:r>
        <w:rPr>
          <w:b/>
        </w:rPr>
        <w:t>n</w:t>
      </w:r>
      <w:r>
        <w:rPr>
          <w:b w:val="0"/>
        </w:rPr>
        <w:t>. The parameter count is literally 3nd + 2Ωd. There is no stack of differently-shaped blocks that must line up in a particular order; there is a population of interchangeable units.</w:t>
      </w:r>
    </w:p>
    <w:p>
      <w:pPr>
        <w:spacing w:before="140" w:after="40"/>
      </w:pPr>
      <w:r>
        <w:rPr>
          <w:b/>
          <w:color w:val="1F6F5C"/>
          <w:sz w:val="21"/>
        </w:rPr>
        <w:t>3. Why that makes “model surgery” possible</w:t>
      </w:r>
    </w:p>
    <w:p>
      <w:pPr>
        <w:spacing w:after="80"/>
      </w:pPr>
      <w:r>
        <w:rPr>
          <w:b w:val="0"/>
        </w:rPr>
        <w:t>Say you train two models: one translates a shared concept language into Language A, the other into Language B. You now want one model that does both. Your options in a Transformer are awkward:</w:t>
      </w:r>
    </w:p>
    <w:p>
      <w:pPr>
        <w:pStyle w:val="ListBullet"/>
        <w:spacing w:after="40"/>
        <w:ind w:left="317"/>
      </w:pPr>
      <w:r>
        <w:rPr>
          <w:b/>
          <w:sz w:val="19"/>
        </w:rPr>
        <w:t>Average the weights</w:t>
      </w:r>
      <w:r>
        <w:rPr>
          <w:b w:val="0"/>
          <w:sz w:val="19"/>
        </w:rPr>
        <w:t xml:space="preserve"> (“model soups”, arXiv:2203.05482). Two specialists become one compromise — like averaging two recipes and getting mush.</w:t>
      </w:r>
    </w:p>
    <w:p>
      <w:pPr>
        <w:pStyle w:val="ListBullet"/>
        <w:spacing w:after="40"/>
        <w:ind w:left="317"/>
      </w:pPr>
      <w:r>
        <w:rPr>
          <w:b/>
          <w:sz w:val="19"/>
        </w:rPr>
        <w:t>Add task vectors</w:t>
      </w:r>
      <w:r>
        <w:rPr>
          <w:b w:val="0"/>
          <w:sz w:val="19"/>
        </w:rPr>
        <w:t xml:space="preserve"> (arXiv:2212.04089). Better, but still one set of neurons carrying both jobs.</w:t>
      </w:r>
    </w:p>
    <w:p>
      <w:pPr>
        <w:spacing w:after="80"/>
      </w:pPr>
      <w:r>
        <w:rPr>
          <w:b w:val="0"/>
        </w:rPr>
        <w:t xml:space="preserve">BDH allows a third move that Transformers simply cannot express: </w:t>
      </w:r>
      <w:r>
        <w:rPr>
          <w:b/>
        </w:rPr>
        <w:t>concatenation</w:t>
      </w:r>
      <w:r>
        <w:rPr>
          <w:b w:val="0"/>
        </w:rPr>
        <w:t>. Because neurons are interchangeable units on one axis, you can lay the two populations side by side — model A's 1024 neurons and model B's 1024 neurons become one 2048-neuron model. Nobody is averaged away. It is less like blending two recipes and more like hiring both chefs. This is the merge rule the BDH paper proposes in §7.1: concatenate along the neuron axis, average the rest.</w:t>
      </w:r>
    </w:p>
    <w:p>
      <w:pPr>
        <w:spacing w:before="140" w:after="40"/>
      </w:pPr>
      <w:r>
        <w:rPr>
          <w:b/>
          <w:color w:val="1F6F5C"/>
          <w:sz w:val="21"/>
        </w:rPr>
        <w:t>4. What we built, and what actually happened</w:t>
      </w:r>
    </w:p>
    <w:p>
      <w:pPr>
        <w:spacing w:after="80"/>
      </w:pPr>
      <w:r>
        <w:rPr>
          <w:b w:val="0"/>
        </w:rPr>
        <w:t>We trained pairs of small BDH models (n = 1024, ~209k parameters each) on two synthetic languages sharing a pivot vocabulary, with a dial θ controlling how much vocabulary they share. Then we merged them and measured the damage. The artifact lets you move θ yourself and watch it happen live in the browser — real forward passes, not an animation.</w:t>
      </w:r>
    </w:p>
    <w:p>
      <w:pPr>
        <w:pStyle w:val="ListBullet"/>
        <w:spacing w:after="40"/>
        <w:ind w:left="317"/>
      </w:pPr>
      <w:r>
        <w:rPr>
          <w:b/>
          <w:sz w:val="19"/>
        </w:rPr>
        <w:t>Concatenation beat averaging in 33 of 33 runs, on all three datasets, at every θ.</w:t>
      </w:r>
      <w:r>
        <w:rPr>
          <w:b w:val="0"/>
          <w:sz w:val="19"/>
        </w:rPr>
        <w:t xml:space="preserve"> This is the architectural point, and it replicated everywhere.</w:t>
      </w:r>
    </w:p>
    <w:p>
      <w:pPr>
        <w:pStyle w:val="ListBullet"/>
        <w:spacing w:after="40"/>
        <w:ind w:left="317"/>
      </w:pPr>
      <w:r>
        <w:rPr>
          <w:b w:val="0"/>
          <w:sz w:val="19"/>
        </w:rPr>
        <w:t xml:space="preserve">Damage is strongly predictable from θ </w:t>
      </w:r>
      <w:r>
        <w:rPr>
          <w:b/>
          <w:sz w:val="19"/>
        </w:rPr>
        <w:t>(corr = −0.991)</w:t>
      </w:r>
      <w:r>
        <w:rPr>
          <w:b w:val="0"/>
          <w:sz w:val="19"/>
        </w:rPr>
        <w:t xml:space="preserve"> — the more vocabulary two models share, the better they fuse.</w:t>
      </w:r>
    </w:p>
    <w:p>
      <w:pPr>
        <w:pStyle w:val="ListBullet"/>
        <w:spacing w:after="40"/>
        <w:ind w:left="317"/>
      </w:pPr>
      <w:r>
        <w:rPr>
          <w:b/>
          <w:sz w:val="19"/>
        </w:rPr>
        <w:t>Our original hypothesis was falsified.</w:t>
      </w:r>
      <w:r>
        <w:rPr>
          <w:b w:val="0"/>
          <w:sz w:val="19"/>
        </w:rPr>
        <w:t xml:space="preserve"> We set out to show damage is predictable from measured neuron overlap, and that it localises to identifiable “collision” neurons. Neither survived our own data. We report that rather than quietly changing the question.</w:t>
      </w:r>
    </w:p>
    <w:p>
      <w:pPr>
        <w:spacing w:before="140" w:after="40"/>
      </w:pPr>
      <w:r>
        <w:rPr>
          <w:b/>
          <w:color w:val="1F6F5C"/>
          <w:sz w:val="21"/>
        </w:rPr>
        <w:t>5. How to appreciate why this is novel</w:t>
      </w:r>
    </w:p>
    <w:p>
      <w:pPr>
        <w:spacing w:after="80"/>
      </w:pPr>
      <w:r>
        <w:rPr>
          <w:b w:val="0"/>
        </w:rPr>
        <w:t>Two things, and they are different.</w:t>
      </w:r>
    </w:p>
    <w:p>
      <w:pPr>
        <w:pStyle w:val="ListBullet"/>
        <w:spacing w:after="40"/>
        <w:ind w:left="317"/>
      </w:pPr>
      <w:r>
        <w:rPr>
          <w:b/>
          <w:sz w:val="19"/>
        </w:rPr>
        <w:t>The operation is architecture-specific.</w:t>
      </w:r>
      <w:r>
        <w:rPr>
          <w:b w:val="0"/>
          <w:sz w:val="19"/>
        </w:rPr>
        <w:t xml:space="preserve"> “Combine two models” normally means ensembling (run both, vote) or averaging (blend the weights). Concatenation is a genuinely third thing, and it is available </w:t>
      </w:r>
      <w:r>
        <w:rPr>
          <w:b/>
          <w:sz w:val="19"/>
        </w:rPr>
        <w:t>because</w:t>
      </w:r>
      <w:r>
        <w:rPr>
          <w:b w:val="0"/>
          <w:sz w:val="19"/>
        </w:rPr>
        <w:t xml:space="preserve"> of how BDH is built. It is a concrete demonstration that architecture choices unlock operations, not just efficiency.</w:t>
      </w:r>
    </w:p>
    <w:p>
      <w:pPr>
        <w:pStyle w:val="ListBullet"/>
        <w:spacing w:after="40"/>
        <w:ind w:left="317"/>
      </w:pPr>
      <w:r>
        <w:rPr>
          <w:b/>
          <w:sz w:val="19"/>
        </w:rPr>
        <w:t>The honesty is the contribution.</w:t>
      </w:r>
      <w:r>
        <w:rPr>
          <w:b w:val="0"/>
          <w:sz w:val="19"/>
        </w:rPr>
        <w:t xml:space="preserve"> The BDH paper poses composability as an open question and does not test it. We ran the experiment, got a negative result on our own hypothesis, and published the negative result with the retraction visible. A demo that only confirms what its authors hoped teaches nothing about how research actually goes.</w:t>
      </w:r>
    </w:p>
    <w:p>
      <w:pPr>
        <w:spacing w:before="120"/>
      </w:pPr>
      <w:r>
        <w:rPr>
          <w:i/>
          <w:color w:val="605D57"/>
          <w:sz w:val="16"/>
        </w:rPr>
        <w:t>Caveat, stated plainly: our models are toy-scale reimplementations (n = 1024 vs the paper's 24,576) trained on synthetic data. They are labelled as such throughout and are not official BDH models. Full numbers, limitations and sources are in the repository README.</w:t>
      </w:r>
    </w:p>
    <w:sectPr w:rsidR="00FC693F" w:rsidRPr="0006063C" w:rsidSect="00034616">
      <w:pgSz w:w="12240" w:h="15840"/>
      <w:pgMar w:top="720"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