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pPr>
      <w:r>
        <w:rPr>
          <w:b w:val="0"/>
          <w:i w:val="0"/>
        </w:rPr>
        <w:t>Model Surgery — Project Specification</w:t>
      </w:r>
    </w:p>
    <w:p>
      <w:pPr>
        <w:spacing w:after="40"/>
      </w:pPr>
      <w:r>
        <w:rPr>
          <w:b/>
          <w:i w:val="0"/>
          <w:color w:val="595959"/>
          <w:sz w:val="24"/>
        </w:rPr>
        <w:t>The Merge Phase Diagram: when can two BDH models be fused, and what breaks when they can’t</w:t>
      </w:r>
    </w:p>
    <w:p>
      <w:pPr>
        <w:spacing w:after="200"/>
      </w:pPr>
      <w:r>
        <w:rPr>
          <w:b w:val="0"/>
          <w:i/>
          <w:color w:val="595959"/>
          <w:sz w:val="19"/>
        </w:rPr>
        <w:t>DataForge 2026 · Pathway Track · Team Invariance · IIT Kharagpur</w:t>
      </w:r>
    </w:p>
    <w:p>
      <w:pPr>
        <w:spacing w:after="200"/>
      </w:pPr>
      <w:r>
        <w:rPr>
          <w:sz w:val="21"/>
        </w:rPr>
        <w:t>This document specifies the idea, the experiment, the technical stack, and the build plan. It is the working spec — decisions marked OPEN must be settled by the team before the relevant work starts. Paper references are to arXiv:2509.26507 (Dragon Hatchling) unless stated otherwise.</w:t>
      </w:r>
    </w:p>
    <w:p>
      <w:pPr>
        <w:pStyle w:val="Heading1"/>
      </w:pPr>
      <w:r>
        <w:rPr>
          <w:b w:val="0"/>
          <w:i w:val="0"/>
        </w:rPr>
        <w:t>1.  The idea</w:t>
      </w:r>
    </w:p>
    <w:p>
      <w:pPr>
        <w:pStyle w:val="Heading2"/>
      </w:pPr>
      <w:r>
        <w:rPr>
          <w:b w:val="0"/>
          <w:i w:val="0"/>
        </w:rPr>
        <w:t>1.1  What exists, and what does not</w:t>
      </w:r>
    </w:p>
    <w:p>
      <w:pPr>
        <w:spacing w:after="120"/>
      </w:pPr>
      <w:r>
        <w:rPr>
          <w:b w:val="0"/>
          <w:i w:val="0"/>
        </w:rPr>
        <w:t>Section 7.1 of the Dragon Hatchling paper reports a single model-merging experiment. Two BDH-GPU models (En-Fr and En-Pt, n = 24,576, 19M params each) were fused into one model of n = 49,152 by concatenating every tensor with an n dimension and averaging the rest. With no retraining, the merged model translated all three languages into English at near-specialist quality, but mixed languages when translating out of English.</w:t>
      </w:r>
    </w:p>
    <w:p>
      <w:pPr>
        <w:spacing w:after="80"/>
      </w:pPr>
      <w:r>
        <w:rPr>
          <w:b w:val="0"/>
          <w:i w:val="0"/>
        </w:rPr>
        <w:t>The paper then states its mechanism:</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20"/>
              </w:rPr>
              <w:t>The untested hypothesis</w:t>
            </w:r>
          </w:p>
          <w:p>
            <w:pPr>
              <w:spacing w:after="40"/>
            </w:pPr>
            <w:r>
              <w:rPr>
                <w:sz w:val="19"/>
              </w:rPr>
              <w:t>"The BDH-GPU model merging experiment has shown that when the model latent space promotes concept disentangling (c.f. Section 6.2 on monosemanticity) then it is feasible to directly compose concepts in this space, e.g. by concatenation of weights from different models." — arXiv:2509.26507 §7.1</w:t>
            </w:r>
          </w:p>
        </w:tc>
      </w:tr>
    </w:tbl>
    <w:p>
      <w:pPr>
        <w:spacing w:after="80"/>
      </w:pPr>
    </w:p>
    <w:p>
      <w:pPr>
        <w:spacing w:after="120"/>
      </w:pPr>
      <w:r>
        <w:rPr>
          <w:b/>
          <w:i w:val="0"/>
        </w:rPr>
        <w:t xml:space="preserve">This is a hypothesis asserted from one data point. </w:t>
      </w:r>
      <w:r>
        <w:rPr>
          <w:b w:val="0"/>
          <w:i w:val="0"/>
        </w:rPr>
        <w:t>Pathway ran one merge, on one model pair, at one (uncontrolled, unmeasured) level of representational overlap. The claim that disentanglement is what makes merging work has never been tested by varying disentanglement. Nobody has published that curve — including Pathway.</w:t>
      </w:r>
    </w:p>
    <w:p>
      <w:pPr>
        <w:spacing w:after="160"/>
      </w:pPr>
      <w:r>
        <w:rPr>
          <w:b/>
          <w:i w:val="0"/>
        </w:rPr>
        <w:t xml:space="preserve">That is our opening. </w:t>
      </w:r>
      <w:r>
        <w:rPr>
          <w:b w:val="0"/>
          <w:i w:val="0"/>
        </w:rPr>
        <w:t>We are not building an explainer of Table 2. We are running the controlled experiment the paper skipped, and building the explainer on top of our own result.</w:t>
      </w:r>
    </w:p>
    <w:p>
      <w:pPr>
        <w:pStyle w:val="Heading2"/>
      </w:pPr>
      <w:r>
        <w:rPr>
          <w:b w:val="0"/>
          <w:i w:val="0"/>
        </w:rPr>
        <w:t>1.2  The central claim</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20"/>
              </w:rPr>
              <w:t>One falsifiable sentence</w:t>
            </w:r>
          </w:p>
          <w:p>
            <w:pPr>
              <w:spacing w:after="40"/>
            </w:pPr>
            <w:r>
              <w:rPr>
                <w:sz w:val="19"/>
              </w:rPr>
              <w:t>Whether two BDH models survive being fused is predictable in advance from how much their neurons overlap — and where they do collide, the damage is localized to identifiable neurons rather than diffused through the model.</w:t>
            </w:r>
          </w:p>
        </w:tc>
      </w:tr>
    </w:tbl>
    <w:p>
      <w:pPr>
        <w:spacing w:after="80"/>
      </w:pPr>
    </w:p>
    <w:p>
      <w:pPr>
        <w:spacing w:after="80"/>
      </w:pPr>
      <w:r>
        <w:rPr>
          <w:b w:val="0"/>
          <w:i w:val="0"/>
        </w:rPr>
        <w:t>Both halves are falsifiable, and each can fail independently:</w:t>
      </w:r>
    </w:p>
    <w:p>
      <w:pPr>
        <w:pStyle w:val="ListBullet"/>
        <w:spacing w:after="60"/>
      </w:pPr>
      <w:r>
        <w:rPr>
          <w:b/>
          <w:i w:val="0"/>
        </w:rPr>
        <w:t>Predictability fails</w:t>
      </w:r>
      <w:r>
        <w:rPr>
          <w:b w:val="0"/>
          <w:i w:val="0"/>
        </w:rPr>
        <w:t xml:space="preserve"> if merge damage shows no consistent relationship to measured overlap — a flat or noisy curve.</w:t>
      </w:r>
    </w:p>
    <w:p>
      <w:pPr>
        <w:pStyle w:val="ListBullet"/>
        <w:spacing w:after="60"/>
      </w:pPr>
      <w:r>
        <w:rPr>
          <w:b/>
          <w:i w:val="0"/>
        </w:rPr>
        <w:t>Locality fails</w:t>
      </w:r>
      <w:r>
        <w:rPr>
          <w:b w:val="0"/>
          <w:i w:val="0"/>
        </w:rPr>
        <w:t xml:space="preserve"> if ablating the neurons we identify as colliding does not recover function better than ablating random neurons of the same count. That random-ablation control is mandatory, not optional.</w:t>
      </w:r>
    </w:p>
    <w:tbl>
      <w:tblPr>
        <w:tblStyle w:val="TableGrid"/>
        <w:tblW w:type="auto" w:w="0"/>
        <w:tblLook w:firstColumn="1" w:firstRow="1" w:lastColumn="0" w:lastRow="0" w:noHBand="0" w:noVBand="1" w:val="04A0"/>
      </w:tblPr>
      <w:tblGrid>
        <w:gridCol w:w="8640"/>
      </w:tblGrid>
      <w:tr>
        <w:tc>
          <w:tcPr>
            <w:tcW w:type="dxa" w:w="8640"/>
            <w:shd w:val="clear" w:color="auto" w:fill="E8F5E9"/>
          </w:tcPr>
          <w:p>
            <w:r/>
            <w:r>
              <w:rPr>
                <w:b/>
                <w:color w:val="2E7D32"/>
                <w:sz w:val="20"/>
              </w:rPr>
              <w:t>There is no result that kills this project</w:t>
            </w:r>
          </w:p>
          <w:p>
            <w:pPr>
              <w:spacing w:after="40"/>
            </w:pPr>
            <w:r>
              <w:rPr>
                <w:sz w:val="19"/>
              </w:rPr>
              <w:t>A flat phase diagram would mean merging is robust across all overlap regimes — which contradicts the paper’s stated mechanism and is a more interesting finding than a clean curve, not a lesser one. The experiment is informative whatever shape it produces. What would sink us is an experiment too poorly controlled to interpret, which is why Section 2 is the longest part of this document.</w:t>
            </w:r>
          </w:p>
        </w:tc>
      </w:tr>
    </w:tbl>
    <w:p>
      <w:pPr>
        <w:spacing w:after="80"/>
      </w:pPr>
    </w:p>
    <w:p>
      <w:pPr>
        <w:pStyle w:val="Heading2"/>
      </w:pPr>
      <w:r>
        <w:rPr>
          <w:b w:val="0"/>
          <w:i w:val="0"/>
        </w:rPr>
        <w:t>1.3  Contribution, stated honestly</w:t>
      </w:r>
    </w:p>
    <w:p>
      <w:pPr>
        <w:spacing w:after="160"/>
      </w:pPr>
      <w:r>
        <w:rPr>
          <w:b w:val="0"/>
          <w:i w:val="0"/>
        </w:rPr>
        <w:t>We produce, at toy scale, a phase diagram relating representational overlap to merge damage in BDH-GPU, plus a localization-and-repair result. This is a small original finding, not a reproduction. It must be labelled throughout as a labelled reimplementation at ~1M parameters — it does not speak for production BDH, and the artifact UI must say so, not only the README.</w:t>
      </w:r>
    </w:p>
    <w:p>
      <w:r>
        <w:br w:type="page"/>
      </w:r>
    </w:p>
    <w:p>
      <w:pPr>
        <w:pStyle w:val="Heading1"/>
      </w:pPr>
      <w:r>
        <w:rPr>
          <w:b w:val="0"/>
          <w:i w:val="0"/>
        </w:rPr>
        <w:t>2.  Experimental design</w:t>
      </w:r>
    </w:p>
    <w:p>
      <w:pPr>
        <w:spacing w:after="160"/>
      </w:pPr>
      <w:r>
        <w:rPr>
          <w:b w:val="0"/>
          <w:i w:val="0"/>
        </w:rPr>
        <w:t>This section is the part that most needs to be right before any code is written. Everything downstream — the artifact, the summary, the defence — inherits its rigour from here.</w:t>
      </w:r>
    </w:p>
    <w:p>
      <w:pPr>
        <w:pStyle w:val="Heading2"/>
      </w:pPr>
      <w:r>
        <w:rPr>
          <w:b w:val="0"/>
          <w:i w:val="0"/>
        </w:rPr>
        <w:t>2.1  The synthetic domains</w:t>
      </w:r>
    </w:p>
    <w:p>
      <w:pPr>
        <w:spacing w:after="120"/>
      </w:pPr>
      <w:r>
        <w:rPr>
          <w:b w:val="0"/>
          <w:i w:val="0"/>
        </w:rPr>
        <w:t>We mirror the paper’s structure (a shared pivot language, two divergent targets) because fidelity to the source setup is worth more than novelty in the task design.</w:t>
      </w:r>
    </w:p>
    <w:p>
      <w:pPr>
        <w:pStyle w:val="ListBullet"/>
        <w:spacing w:after="60"/>
      </w:pPr>
      <w:r>
        <w:rPr>
          <w:b/>
          <w:i w:val="0"/>
        </w:rPr>
        <w:t xml:space="preserve">Pivot: </w:t>
      </w:r>
      <w:r>
        <w:rPr>
          <w:b w:val="0"/>
          <w:i w:val="0"/>
        </w:rPr>
        <w:t>a small artificial source language P — fixed vocabulary, fixed grammar, shared by both parents.</w:t>
      </w:r>
    </w:p>
    <w:p>
      <w:pPr>
        <w:pStyle w:val="ListBullet"/>
        <w:spacing w:after="60"/>
      </w:pPr>
      <w:r>
        <w:rPr>
          <w:b/>
          <w:i w:val="0"/>
        </w:rPr>
        <w:t xml:space="preserve">Targets: </w:t>
      </w:r>
      <w:r>
        <w:rPr>
          <w:b w:val="0"/>
          <w:i w:val="0"/>
        </w:rPr>
        <w:t>two artificial languages A and B. Each expresses the same underlying set of concepts as P, with its own surface vocabulary.</w:t>
      </w:r>
    </w:p>
    <w:p>
      <w:pPr>
        <w:pStyle w:val="ListBullet"/>
        <w:spacing w:after="60"/>
      </w:pPr>
      <w:r>
        <w:rPr>
          <w:b/>
          <w:i w:val="0"/>
        </w:rPr>
        <w:t>Parent 1 trains on P→A. Parent 2 trains on P→B.</w:t>
      </w:r>
      <w:r>
        <w:rPr>
          <w:b w:val="0"/>
          <w:i w:val="0"/>
        </w:rPr>
        <w:t xml:space="preserve"> Merge them. The merged model should do both.</w:t>
      </w:r>
    </w:p>
    <w:p>
      <w:pPr>
        <w:spacing w:after="120"/>
      </w:pPr>
      <w:r>
        <w:rPr>
          <w:b/>
          <w:i w:val="0"/>
        </w:rPr>
        <w:t xml:space="preserve">The overlap knob (θ). </w:t>
      </w:r>
      <w:r>
        <w:rPr>
          <w:b w:val="0"/>
          <w:i w:val="0"/>
        </w:rPr>
        <w:t>A and B share a controlled fraction θ of their surface vocabulary for the same concepts. At θ = 0 the two targets are disjoint codes over a shared concept space; at θ = 1 they are the same language. Sweeping θ sweeps how much the two parents are pushed to represent the same things the same way.</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20"/>
              </w:rPr>
              <w:t>OPEN DECISION — what θ actually varies</w:t>
            </w:r>
          </w:p>
          <w:p>
            <w:pPr>
              <w:spacing w:after="40"/>
            </w:pPr>
            <w:r>
              <w:rPr>
                <w:sz w:val="19"/>
              </w:rPr>
              <w:t>θ as specified above varies surface-form overlap. An alternative is to vary concept-space overlap (A and B express partially disjoint concept sets). These test different things: the first asks whether shared vocabulary forces shared neurons, the second whether disjoint concepts occupy disjoint neurons. The paper’s three languages express the same concepts with different surface forms, so the first is the faithful analogue and is the recommended default. Settle this on Day 1 — it determines the whole sweep.</w:t>
            </w:r>
          </w:p>
        </w:tc>
      </w:tr>
    </w:tbl>
    <w:p>
      <w:pPr>
        <w:spacing w:after="80"/>
      </w:pPr>
    </w:p>
    <w:p>
      <w:pPr>
        <w:pStyle w:val="Heading2"/>
      </w:pPr>
      <w:r>
        <w:rPr>
          <w:b w:val="0"/>
          <w:i w:val="0"/>
        </w:rPr>
        <w:t>2.2  Two notions of overlap — keep them separate</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F4E79"/>
          </w:tcPr>
          <w:p>
            <w:r/>
            <w:r>
              <w:rPr>
                <w:b/>
                <w:color w:val="FFFFFF"/>
                <w:sz w:val="18"/>
              </w:rPr>
            </w:r>
          </w:p>
        </w:tc>
        <w:tc>
          <w:tcPr>
            <w:tcW w:type="dxa" w:w="3888"/>
            <w:shd w:val="clear" w:color="auto" w:fill="1F4E79"/>
          </w:tcPr>
          <w:p>
            <w:r/>
            <w:r>
              <w:rPr>
                <w:b/>
                <w:color w:val="FFFFFF"/>
                <w:sz w:val="18"/>
              </w:rPr>
              <w:t>Designed overlap (θ)</w:t>
            </w:r>
          </w:p>
        </w:tc>
        <w:tc>
          <w:tcPr>
            <w:tcW w:type="dxa" w:w="4176"/>
            <w:shd w:val="clear" w:color="auto" w:fill="1F4E79"/>
          </w:tcPr>
          <w:p>
            <w:r/>
            <w:r>
              <w:rPr>
                <w:b/>
                <w:color w:val="FFFFFF"/>
                <w:sz w:val="18"/>
              </w:rPr>
              <w:t>Measured overlap (M)</w:t>
            </w:r>
          </w:p>
        </w:tc>
      </w:tr>
      <w:tr>
        <w:tc>
          <w:tcPr>
            <w:tcW w:type="dxa" w:w="1584"/>
          </w:tcPr>
          <w:p>
            <w:pPr>
              <w:spacing w:after="40"/>
            </w:pPr>
            <w:r/>
            <w:r>
              <w:rPr>
                <w:b w:val="0"/>
                <w:sz w:val="18"/>
              </w:rPr>
              <w:t>What it is</w:t>
            </w:r>
          </w:p>
        </w:tc>
        <w:tc>
          <w:tcPr>
            <w:tcW w:type="dxa" w:w="3888"/>
          </w:tcPr>
          <w:p>
            <w:pPr>
              <w:spacing w:after="40"/>
            </w:pPr>
            <w:r/>
            <w:r>
              <w:rPr>
                <w:b w:val="0"/>
                <w:sz w:val="18"/>
              </w:rPr>
              <w:t>The knob we set when generating data.</w:t>
            </w:r>
          </w:p>
        </w:tc>
        <w:tc>
          <w:tcPr>
            <w:tcW w:type="dxa" w:w="4176"/>
          </w:tcPr>
          <w:p>
            <w:pPr>
              <w:spacing w:after="40"/>
            </w:pPr>
            <w:r/>
            <w:r>
              <w:rPr>
                <w:b w:val="0"/>
                <w:sz w:val="18"/>
              </w:rPr>
              <w:t xml:space="preserve">Representational overlap between the two </w:t>
            </w:r>
            <w:r>
              <w:rPr>
                <w:b/>
                <w:sz w:val="18"/>
              </w:rPr>
              <w:t>trained</w:t>
            </w:r>
            <w:r>
              <w:rPr>
                <w:b w:val="0"/>
                <w:sz w:val="18"/>
              </w:rPr>
              <w:t xml:space="preserve"> parents.</w:t>
            </w:r>
          </w:p>
        </w:tc>
      </w:tr>
      <w:tr>
        <w:tc>
          <w:tcPr>
            <w:tcW w:type="dxa" w:w="1584"/>
            <w:shd w:val="clear" w:color="auto" w:fill="F2F6FA"/>
          </w:tcPr>
          <w:p>
            <w:pPr>
              <w:spacing w:after="40"/>
            </w:pPr>
            <w:r/>
            <w:r>
              <w:rPr>
                <w:b w:val="0"/>
                <w:sz w:val="18"/>
              </w:rPr>
              <w:t>When known</w:t>
            </w:r>
          </w:p>
        </w:tc>
        <w:tc>
          <w:tcPr>
            <w:tcW w:type="dxa" w:w="3888"/>
            <w:shd w:val="clear" w:color="auto" w:fill="F2F6FA"/>
          </w:tcPr>
          <w:p>
            <w:pPr>
              <w:spacing w:after="40"/>
            </w:pPr>
            <w:r/>
            <w:r>
              <w:rPr>
                <w:b w:val="0"/>
                <w:sz w:val="18"/>
              </w:rPr>
              <w:t>Before training.</w:t>
            </w:r>
          </w:p>
        </w:tc>
        <w:tc>
          <w:tcPr>
            <w:tcW w:type="dxa" w:w="4176"/>
            <w:shd w:val="clear" w:color="auto" w:fill="F2F6FA"/>
          </w:tcPr>
          <w:p>
            <w:pPr>
              <w:spacing w:after="40"/>
            </w:pPr>
            <w:r/>
            <w:r>
              <w:rPr>
                <w:b w:val="0"/>
                <w:sz w:val="18"/>
              </w:rPr>
              <w:t>After training, by probing.</w:t>
            </w:r>
          </w:p>
        </w:tc>
      </w:tr>
      <w:tr>
        <w:tc>
          <w:tcPr>
            <w:tcW w:type="dxa" w:w="1584"/>
          </w:tcPr>
          <w:p>
            <w:pPr>
              <w:spacing w:after="40"/>
            </w:pPr>
            <w:r/>
            <w:r>
              <w:rPr>
                <w:b w:val="0"/>
                <w:sz w:val="18"/>
              </w:rPr>
              <w:t>Role</w:t>
            </w:r>
          </w:p>
        </w:tc>
        <w:tc>
          <w:tcPr>
            <w:tcW w:type="dxa" w:w="3888"/>
          </w:tcPr>
          <w:p>
            <w:pPr>
              <w:spacing w:after="40"/>
            </w:pPr>
            <w:r/>
            <w:r>
              <w:rPr>
                <w:b w:val="0"/>
                <w:sz w:val="18"/>
              </w:rPr>
              <w:t>Independent variable of the sweep; the learner’s slider.</w:t>
            </w:r>
          </w:p>
        </w:tc>
        <w:tc>
          <w:tcPr>
            <w:tcW w:type="dxa" w:w="4176"/>
          </w:tcPr>
          <w:p>
            <w:pPr>
              <w:spacing w:after="40"/>
            </w:pPr>
            <w:r/>
            <w:r>
              <w:rPr>
                <w:b w:val="0"/>
                <w:sz w:val="18"/>
              </w:rPr>
              <w:t>The quantity the claim is actually about.</w:t>
            </w:r>
          </w:p>
        </w:tc>
      </w:tr>
    </w:tbl>
    <w:p>
      <w:pPr>
        <w:spacing w:after="80"/>
      </w:pPr>
    </w:p>
    <w:p>
      <w:pPr>
        <w:spacing w:after="160"/>
      </w:pPr>
      <w:r>
        <w:rPr>
          <w:b w:val="0"/>
          <w:i w:val="0"/>
        </w:rPr>
        <w:t xml:space="preserve">The phase diagram should plot damage against </w:t>
      </w:r>
      <w:r>
        <w:rPr>
          <w:b/>
          <w:i/>
        </w:rPr>
        <w:t>measured</w:t>
      </w:r>
      <w:r>
        <w:rPr>
          <w:b w:val="0"/>
          <w:i w:val="0"/>
        </w:rPr>
        <w:t xml:space="preserve"> overlap M, with θ as the mechanism that generates a spread of M values. Plotting against θ alone would be weaker: it would show that our data generator affects merging, not that representational overlap does. This distinction is worth a sentence in the one-page summary — it is the kind of thing judges probe.</w:t>
      </w:r>
    </w:p>
    <w:p>
      <w:pPr>
        <w:pStyle w:val="Heading2"/>
      </w:pPr>
      <w:r>
        <w:rPr>
          <w:b w:val="0"/>
          <w:i w:val="0"/>
        </w:rPr>
        <w:t>2.3  Measuring representational overlap (M)</w:t>
      </w:r>
    </w:p>
    <w:p>
      <w:pPr>
        <w:spacing w:after="100"/>
      </w:pPr>
      <w:r>
        <w:rPr>
          <w:b w:val="0"/>
          <w:i w:val="0"/>
        </w:rPr>
        <w:t>BDH neurons are sparse and reported as near-monosemantic (§6.2–6.4), which makes a matching-based measure the natural choice rather than a subspace measure like CKA.</w:t>
      </w:r>
    </w:p>
    <w:p>
      <w:pPr>
        <w:pStyle w:val="ListNumber"/>
        <w:spacing w:after="60"/>
      </w:pPr>
      <w:r>
        <w:rPr>
          <w:b w:val="0"/>
          <w:i w:val="0"/>
        </w:rPr>
        <w:t>Build a fixed probe set of pivot-language inputs, identical for both parents.</w:t>
      </w:r>
    </w:p>
    <w:p>
      <w:pPr>
        <w:pStyle w:val="ListNumber"/>
        <w:spacing w:after="60"/>
      </w:pPr>
      <w:r>
        <w:rPr>
          <w:b w:val="0"/>
          <w:i w:val="0"/>
        </w:rPr>
        <w:t>For each parent, record the activation profile of every neuron over the probe set — a vector of length |probe|. Use the sparse activation vector y (§3.2), which is the quantity the monosemanticity results are reported on.</w:t>
      </w:r>
    </w:p>
    <w:p>
      <w:pPr>
        <w:pStyle w:val="ListNumber"/>
        <w:spacing w:after="60"/>
      </w:pPr>
      <w:r>
        <w:rPr>
          <w:b w:val="0"/>
          <w:i w:val="0"/>
        </w:rPr>
        <w:t>Compute the correlation matrix between parent-A neurons and parent-B neurons.</w:t>
      </w:r>
    </w:p>
    <w:p>
      <w:pPr>
        <w:pStyle w:val="ListNumber"/>
        <w:spacing w:after="60"/>
      </w:pPr>
      <w:r>
        <w:rPr>
          <w:b w:val="0"/>
          <w:i w:val="0"/>
        </w:rPr>
        <w:t xml:space="preserve">Solve the optimal assignment (Hungarian algorithm, </w:t>
      </w:r>
      <w:r>
        <w:rPr>
          <w:rFonts w:ascii="Consolas" w:hAnsi="Consolas"/>
          <w:b w:val="0"/>
          <w:i w:val="0"/>
          <w:sz w:val="18"/>
        </w:rPr>
        <w:t>scipy.optimize.linear_sum_assignment</w:t>
      </w:r>
      <w:r>
        <w:rPr>
          <w:b w:val="0"/>
          <w:i w:val="0"/>
        </w:rPr>
        <w:t>) to pair each A-neuron with at most one B-neuron.</w:t>
      </w:r>
    </w:p>
    <w:p>
      <w:pPr>
        <w:pStyle w:val="ListNumber"/>
        <w:spacing w:after="60"/>
      </w:pPr>
      <w:r>
        <w:rPr>
          <w:b w:val="0"/>
          <w:i w:val="0"/>
        </w:rPr>
        <w:t>M = the fraction of pairs whose correlation exceeds a threshold τ. Report the curve for several τ rather than defending one magic number.</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20"/>
              </w:rPr>
              <w:t>OPEN DECISION — τ and the alternative measure</w:t>
            </w:r>
          </w:p>
          <w:p>
            <w:pPr>
              <w:spacing w:after="40"/>
            </w:pPr>
            <w:r>
              <w:rPr>
                <w:sz w:val="19"/>
              </w:rPr>
              <w:t>The threshold τ is arbitrary and must be handled honestly: show the phase diagram at three values of τ and state that the qualitative shape is (or is not) stable across them. If matched-neuron counting proves noisy at n≈2048, the fallback is mean matched-pair correlation with no threshold at all, which removes the arbitrary parameter at the cost of interpretability.</w:t>
            </w:r>
          </w:p>
        </w:tc>
      </w:tr>
    </w:tbl>
    <w:p>
      <w:pPr>
        <w:spacing w:after="80"/>
      </w:pPr>
    </w:p>
    <w:p>
      <w:pPr>
        <w:pStyle w:val="Heading2"/>
      </w:pPr>
      <w:r>
        <w:rPr>
          <w:b w:val="0"/>
          <w:i w:val="0"/>
        </w:rPr>
        <w:t>2.4  Measuring merge damage (D)</w:t>
      </w:r>
    </w:p>
    <w:p>
      <w:pPr>
        <w:spacing w:after="80"/>
      </w:pPr>
      <w:r>
        <w:rPr>
          <w:b w:val="0"/>
          <w:i w:val="0"/>
        </w:rPr>
        <w:t>For each merged model, damage is measured against the parents it came from, on each parent’s own task:</w:t>
      </w:r>
    </w:p>
    <w:p>
      <w:pPr>
        <w:spacing w:before="80" w:after="160"/>
        <w:ind w:left="360"/>
      </w:pPr>
      <w:r>
        <w:rPr>
          <w:rFonts w:ascii="Consolas" w:hAnsi="Consolas"/>
          <w:sz w:val="18"/>
        </w:rPr>
        <w:t>D_A  =  loss_merged(P-&gt;A)  -  loss_parentA(P-&gt;A)</w:t>
        <w:br/>
      </w:r>
      <w:r>
        <w:rPr>
          <w:rFonts w:ascii="Consolas" w:hAnsi="Consolas"/>
          <w:sz w:val="18"/>
        </w:rPr>
        <w:t>D_B  =  loss_merged(P-&gt;B)  -  loss_parentB(P-&gt;B)</w:t>
        <w:br/>
      </w:r>
      <w:r>
        <w:rPr>
          <w:rFonts w:ascii="Consolas" w:hAnsi="Consolas"/>
          <w:sz w:val="18"/>
        </w:rPr>
        <w:t>D    =  mean(D_A, D_B)          # next-token cross-entropy, held-out split</w:t>
      </w:r>
    </w:p>
    <w:p>
      <w:pPr>
        <w:spacing w:after="160"/>
      </w:pPr>
      <w:r>
        <w:rPr>
          <w:b/>
          <w:i w:val="0"/>
        </w:rPr>
        <w:t xml:space="preserve">Report the two directions separately as well as pooled. </w:t>
      </w:r>
      <w:r>
        <w:rPr>
          <w:b w:val="0"/>
          <w:i w:val="0"/>
        </w:rPr>
        <w:t xml:space="preserve">The paper’s headline finding is an </w:t>
      </w:r>
      <w:r>
        <w:rPr>
          <w:b w:val="0"/>
          <w:i/>
        </w:rPr>
        <w:t>asymmetry</w:t>
      </w:r>
      <w:r>
        <w:rPr>
          <w:b w:val="0"/>
          <w:i w:val="0"/>
        </w:rPr>
        <w:t xml:space="preserve"> — translation into the shared pivot survived, translation out of it degraded. If our setup reproduces that asymmetry at toy scale it is strong corroboration; if it does not, that is a real and reportable difference between our reimplementation and the published system, and must be reported as such.</w:t>
      </w:r>
    </w:p>
    <w:p>
      <w:pPr>
        <w:pStyle w:val="Heading2"/>
      </w:pPr>
      <w:r>
        <w:rPr>
          <w:b w:val="0"/>
          <w:i w:val="0"/>
        </w:rPr>
        <w:t>2.5  The sweep</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18"/>
              </w:rPr>
              <w:t>Parameter</w:t>
            </w:r>
          </w:p>
        </w:tc>
        <w:tc>
          <w:tcPr>
            <w:tcW w:type="dxa" w:w="3312"/>
            <w:shd w:val="clear" w:color="auto" w:fill="1F4E79"/>
          </w:tcPr>
          <w:p>
            <w:r/>
            <w:r>
              <w:rPr>
                <w:b/>
                <w:color w:val="FFFFFF"/>
                <w:sz w:val="18"/>
              </w:rPr>
              <w:t>Value</w:t>
            </w:r>
          </w:p>
        </w:tc>
        <w:tc>
          <w:tcPr>
            <w:tcW w:type="dxa" w:w="4464"/>
            <w:shd w:val="clear" w:color="auto" w:fill="1F4E79"/>
          </w:tcPr>
          <w:p>
            <w:r/>
            <w:r>
              <w:rPr>
                <w:b/>
                <w:color w:val="FFFFFF"/>
                <w:sz w:val="18"/>
              </w:rPr>
              <w:t>Note</w:t>
            </w:r>
          </w:p>
        </w:tc>
      </w:tr>
      <w:tr>
        <w:tc>
          <w:tcPr>
            <w:tcW w:type="dxa" w:w="1872"/>
          </w:tcPr>
          <w:p>
            <w:pPr>
              <w:spacing w:after="40"/>
            </w:pPr>
            <w:r/>
            <w:r>
              <w:rPr>
                <w:b w:val="0"/>
                <w:sz w:val="18"/>
              </w:rPr>
              <w:t>θ grid</w:t>
            </w:r>
          </w:p>
        </w:tc>
        <w:tc>
          <w:tcPr>
            <w:tcW w:type="dxa" w:w="3312"/>
          </w:tcPr>
          <w:p>
            <w:pPr>
              <w:spacing w:after="40"/>
            </w:pPr>
            <w:r/>
            <w:r>
              <w:rPr>
                <w:b w:val="0"/>
                <w:sz w:val="18"/>
              </w:rPr>
              <w:t>11 points, 0.0 → 1.0 in steps of 0.1</w:t>
            </w:r>
          </w:p>
        </w:tc>
        <w:tc>
          <w:tcPr>
            <w:tcW w:type="dxa" w:w="4464"/>
          </w:tcPr>
          <w:p>
            <w:pPr>
              <w:spacing w:after="40"/>
            </w:pPr>
            <w:r/>
            <w:r>
              <w:rPr>
                <w:b w:val="0"/>
                <w:sz w:val="18"/>
              </w:rPr>
              <w:t>Coarsen to 6 points if training is slower than budgeted.</w:t>
            </w:r>
          </w:p>
        </w:tc>
      </w:tr>
      <w:tr>
        <w:tc>
          <w:tcPr>
            <w:tcW w:type="dxa" w:w="1872"/>
            <w:shd w:val="clear" w:color="auto" w:fill="F2F6FA"/>
          </w:tcPr>
          <w:p>
            <w:pPr>
              <w:spacing w:after="40"/>
            </w:pPr>
            <w:r/>
            <w:r>
              <w:rPr>
                <w:b w:val="0"/>
                <w:sz w:val="18"/>
              </w:rPr>
              <w:t>Seeds per θ</w:t>
            </w:r>
          </w:p>
        </w:tc>
        <w:tc>
          <w:tcPr>
            <w:tcW w:type="dxa" w:w="3312"/>
            <w:shd w:val="clear" w:color="auto" w:fill="F2F6FA"/>
          </w:tcPr>
          <w:p>
            <w:pPr>
              <w:spacing w:after="40"/>
            </w:pPr>
            <w:r/>
            <w:r>
              <w:rPr>
                <w:b w:val="0"/>
                <w:sz w:val="18"/>
              </w:rPr>
              <w:t>3</w:t>
            </w:r>
          </w:p>
        </w:tc>
        <w:tc>
          <w:tcPr>
            <w:tcW w:type="dxa" w:w="4464"/>
            <w:shd w:val="clear" w:color="auto" w:fill="F2F6FA"/>
          </w:tcPr>
          <w:p>
            <w:pPr>
              <w:spacing w:after="40"/>
            </w:pPr>
            <w:r/>
            <w:r>
              <w:rPr>
                <w:b/>
                <w:sz w:val="18"/>
              </w:rPr>
              <w:t>Non-negotiable.</w:t>
            </w:r>
            <w:r>
              <w:rPr>
                <w:b w:val="0"/>
                <w:sz w:val="18"/>
              </w:rPr>
              <w:t xml:space="preserve"> Without seed variance we cannot distinguish a trend from noise.</w:t>
            </w:r>
          </w:p>
        </w:tc>
      </w:tr>
      <w:tr>
        <w:tc>
          <w:tcPr>
            <w:tcW w:type="dxa" w:w="1872"/>
          </w:tcPr>
          <w:p>
            <w:pPr>
              <w:spacing w:after="40"/>
            </w:pPr>
            <w:r/>
            <w:r>
              <w:rPr>
                <w:b w:val="0"/>
                <w:sz w:val="18"/>
              </w:rPr>
              <w:t>Parent pairs</w:t>
            </w:r>
          </w:p>
        </w:tc>
        <w:tc>
          <w:tcPr>
            <w:tcW w:type="dxa" w:w="3312"/>
          </w:tcPr>
          <w:p>
            <w:pPr>
              <w:spacing w:after="40"/>
            </w:pPr>
            <w:r/>
            <w:r>
              <w:rPr>
                <w:b w:val="0"/>
                <w:sz w:val="18"/>
              </w:rPr>
              <w:t>33</w:t>
            </w:r>
          </w:p>
        </w:tc>
        <w:tc>
          <w:tcPr>
            <w:tcW w:type="dxa" w:w="4464"/>
          </w:tcPr>
          <w:p>
            <w:pPr>
              <w:spacing w:after="40"/>
            </w:pPr>
            <w:r/>
            <w:r>
              <w:rPr>
                <w:b w:val="0"/>
                <w:sz w:val="18"/>
              </w:rPr>
              <w:t>= 11 × 3</w:t>
            </w:r>
          </w:p>
        </w:tc>
      </w:tr>
      <w:tr>
        <w:tc>
          <w:tcPr>
            <w:tcW w:type="dxa" w:w="1872"/>
            <w:shd w:val="clear" w:color="auto" w:fill="F2F6FA"/>
          </w:tcPr>
          <w:p>
            <w:pPr>
              <w:spacing w:after="40"/>
            </w:pPr>
            <w:r/>
            <w:r>
              <w:rPr>
                <w:b w:val="0"/>
                <w:sz w:val="18"/>
              </w:rPr>
              <w:t>Models trained</w:t>
            </w:r>
          </w:p>
        </w:tc>
        <w:tc>
          <w:tcPr>
            <w:tcW w:type="dxa" w:w="3312"/>
            <w:shd w:val="clear" w:color="auto" w:fill="F2F6FA"/>
          </w:tcPr>
          <w:p>
            <w:pPr>
              <w:spacing w:after="40"/>
            </w:pPr>
            <w:r/>
            <w:r>
              <w:rPr>
                <w:b w:val="0"/>
                <w:sz w:val="18"/>
              </w:rPr>
              <w:t>66</w:t>
            </w:r>
          </w:p>
        </w:tc>
        <w:tc>
          <w:tcPr>
            <w:tcW w:type="dxa" w:w="4464"/>
            <w:shd w:val="clear" w:color="auto" w:fill="F2F6FA"/>
          </w:tcPr>
          <w:p>
            <w:pPr>
              <w:spacing w:after="40"/>
            </w:pPr>
            <w:r/>
            <w:r>
              <w:rPr>
                <w:b w:val="0"/>
                <w:sz w:val="18"/>
              </w:rPr>
              <w:t>Two parents per pair.</w:t>
            </w:r>
          </w:p>
        </w:tc>
      </w:tr>
      <w:tr>
        <w:tc>
          <w:tcPr>
            <w:tcW w:type="dxa" w:w="1872"/>
          </w:tcPr>
          <w:p>
            <w:pPr>
              <w:spacing w:after="40"/>
            </w:pPr>
            <w:r/>
            <w:r>
              <w:rPr>
                <w:b w:val="0"/>
                <w:sz w:val="18"/>
              </w:rPr>
              <w:t>Merges evaluated</w:t>
            </w:r>
          </w:p>
        </w:tc>
        <w:tc>
          <w:tcPr>
            <w:tcW w:type="dxa" w:w="3312"/>
          </w:tcPr>
          <w:p>
            <w:pPr>
              <w:spacing w:after="40"/>
            </w:pPr>
            <w:r/>
            <w:r>
              <w:rPr>
                <w:b w:val="0"/>
                <w:sz w:val="18"/>
              </w:rPr>
              <w:t>66</w:t>
            </w:r>
          </w:p>
        </w:tc>
        <w:tc>
          <w:tcPr>
            <w:tcW w:type="dxa" w:w="4464"/>
          </w:tcPr>
          <w:p>
            <w:pPr>
              <w:spacing w:after="40"/>
            </w:pPr>
            <w:r/>
            <w:r>
              <w:rPr>
                <w:b w:val="0"/>
                <w:sz w:val="18"/>
              </w:rPr>
              <w:t>Concat and average, per pair — the average arm is the control.</w:t>
            </w:r>
          </w:p>
        </w:tc>
      </w:tr>
      <w:tr>
        <w:tc>
          <w:tcPr>
            <w:tcW w:type="dxa" w:w="1872"/>
            <w:shd w:val="clear" w:color="auto" w:fill="F2F6FA"/>
          </w:tcPr>
          <w:p>
            <w:pPr>
              <w:spacing w:after="40"/>
            </w:pPr>
            <w:r/>
            <w:r>
              <w:rPr>
                <w:b w:val="0"/>
                <w:sz w:val="18"/>
              </w:rPr>
              <w:t>Model size</w:t>
            </w:r>
          </w:p>
        </w:tc>
        <w:tc>
          <w:tcPr>
            <w:tcW w:type="dxa" w:w="3312"/>
            <w:shd w:val="clear" w:color="auto" w:fill="F2F6FA"/>
          </w:tcPr>
          <w:p>
            <w:pPr>
              <w:spacing w:after="40"/>
            </w:pPr>
            <w:r/>
            <w:r>
              <w:rPr>
                <w:b w:val="0"/>
                <w:sz w:val="18"/>
              </w:rPr>
              <w:t>n ≈ 2048, d = 64, L = 2–4, char-level</w:t>
            </w:r>
          </w:p>
        </w:tc>
        <w:tc>
          <w:tcPr>
            <w:tcW w:type="dxa" w:w="4464"/>
            <w:shd w:val="clear" w:color="auto" w:fill="F2F6FA"/>
          </w:tcPr>
          <w:p>
            <w:pPr>
              <w:spacing w:after="40"/>
            </w:pPr>
            <w:r/>
            <w:r>
              <w:rPr>
                <w:b w:val="0"/>
                <w:sz w:val="18"/>
              </w:rPr>
              <w:t>Under 1M params; minutes per model on CPU.</w:t>
            </w:r>
          </w:p>
        </w:tc>
      </w:tr>
    </w:tbl>
    <w:p>
      <w:pPr>
        <w:spacing w:after="80"/>
      </w:pPr>
    </w:p>
    <w:p>
      <w:pPr>
        <w:spacing w:after="160"/>
      </w:pPr>
      <w:r>
        <w:rPr>
          <w:b/>
          <w:i w:val="0"/>
        </w:rPr>
        <w:t xml:space="preserve">Every point on the phase diagram carries an error bar across seeds. </w:t>
      </w:r>
      <w:r>
        <w:rPr>
          <w:b w:val="0"/>
          <w:i w:val="0"/>
        </w:rPr>
        <w:t>A curve without them is not evidence, and a judge who asks "how do you know that dip is real?" must get an answer better than "it looked like that."</w:t>
      </w:r>
    </w:p>
    <w:p>
      <w:pPr>
        <w:pStyle w:val="Heading2"/>
      </w:pPr>
      <w:r>
        <w:rPr>
          <w:b w:val="0"/>
          <w:i w:val="0"/>
        </w:rPr>
        <w:t>2.6  Controls</w:t>
      </w:r>
    </w:p>
    <w:p>
      <w:pPr>
        <w:spacing w:after="100"/>
      </w:pPr>
      <w:r>
        <w:rPr>
          <w:b w:val="0"/>
          <w:i w:val="0"/>
        </w:rPr>
        <w:t>These are what separate an experiment from a demo. Each is cheap and each closes an obvious line of attack.</w:t>
      </w: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1F4E79"/>
          </w:tcPr>
          <w:p>
            <w:r/>
            <w:r>
              <w:rPr>
                <w:b/>
                <w:color w:val="FFFFFF"/>
                <w:sz w:val="18"/>
              </w:rPr>
              <w:t>Control</w:t>
            </w:r>
          </w:p>
        </w:tc>
        <w:tc>
          <w:tcPr>
            <w:tcW w:type="dxa" w:w="4896"/>
            <w:shd w:val="clear" w:color="auto" w:fill="1F4E79"/>
          </w:tcPr>
          <w:p>
            <w:r/>
            <w:r>
              <w:rPr>
                <w:b/>
                <w:color w:val="FFFFFF"/>
                <w:sz w:val="18"/>
              </w:rPr>
              <w:t>What it rules out</w:t>
            </w:r>
          </w:p>
        </w:tc>
      </w:tr>
      <w:tr>
        <w:tc>
          <w:tcPr>
            <w:tcW w:type="dxa" w:w="4752"/>
          </w:tcPr>
          <w:p>
            <w:pPr>
              <w:spacing w:after="40"/>
            </w:pPr>
            <w:r/>
            <w:r>
              <w:rPr>
                <w:b/>
                <w:sz w:val="18"/>
              </w:rPr>
              <w:t>Averaging arm</w:t>
            </w:r>
            <w:r>
              <w:rPr>
                <w:b w:val="0"/>
                <w:sz w:val="18"/>
              </w:rPr>
              <w:t xml:space="preserve"> — merge the same pairs by averaging instead of concatenating.</w:t>
            </w:r>
          </w:p>
        </w:tc>
        <w:tc>
          <w:tcPr>
            <w:tcW w:type="dxa" w:w="4896"/>
          </w:tcPr>
          <w:p>
            <w:pPr>
              <w:spacing w:after="40"/>
            </w:pPr>
            <w:r/>
            <w:r>
              <w:rPr>
                <w:b w:val="0"/>
                <w:sz w:val="18"/>
              </w:rPr>
              <w:t>That any fusion of two models would work. This is also the artifact’s central teaching toggle.</w:t>
            </w:r>
          </w:p>
        </w:tc>
      </w:tr>
      <w:tr>
        <w:tc>
          <w:tcPr>
            <w:tcW w:type="dxa" w:w="4752"/>
            <w:shd w:val="clear" w:color="auto" w:fill="F2F6FA"/>
          </w:tcPr>
          <w:p>
            <w:pPr>
              <w:spacing w:after="40"/>
            </w:pPr>
            <w:r/>
            <w:r>
              <w:rPr>
                <w:b/>
                <w:sz w:val="18"/>
              </w:rPr>
              <w:t>Random-ablation baseline</w:t>
            </w:r>
            <w:r>
              <w:rPr>
                <w:b w:val="0"/>
                <w:sz w:val="18"/>
              </w:rPr>
              <w:t xml:space="preserve"> — ablate k random neurons, same k as the localized set.</w:t>
            </w:r>
          </w:p>
        </w:tc>
        <w:tc>
          <w:tcPr>
            <w:tcW w:type="dxa" w:w="4896"/>
            <w:shd w:val="clear" w:color="auto" w:fill="F2F6FA"/>
          </w:tcPr>
          <w:p>
            <w:pPr>
              <w:spacing w:after="40"/>
            </w:pPr>
            <w:r/>
            <w:r>
              <w:rPr>
                <w:b w:val="0"/>
                <w:sz w:val="18"/>
              </w:rPr>
              <w:t>That the repair result is just "ablating anything helps."</w:t>
            </w:r>
          </w:p>
        </w:tc>
      </w:tr>
      <w:tr>
        <w:tc>
          <w:tcPr>
            <w:tcW w:type="dxa" w:w="4752"/>
          </w:tcPr>
          <w:p>
            <w:pPr>
              <w:spacing w:after="40"/>
            </w:pPr>
            <w:r/>
            <w:r>
              <w:rPr>
                <w:b/>
                <w:sz w:val="18"/>
              </w:rPr>
              <w:t>Self-merge</w:t>
            </w:r>
            <w:r>
              <w:rPr>
                <w:b w:val="0"/>
                <w:sz w:val="18"/>
              </w:rPr>
              <w:t xml:space="preserve"> — merge a model with an independently seeded copy of itself (θ = 1 case).</w:t>
            </w:r>
          </w:p>
        </w:tc>
        <w:tc>
          <w:tcPr>
            <w:tcW w:type="dxa" w:w="4896"/>
          </w:tcPr>
          <w:p>
            <w:pPr>
              <w:spacing w:after="40"/>
            </w:pPr>
            <w:r/>
            <w:r>
              <w:rPr>
                <w:b w:val="0"/>
                <w:sz w:val="18"/>
              </w:rPr>
              <w:t>Establishes the floor: maximum overlap, and tells us what damage looks like when the two parents genuinely represent the same things.</w:t>
            </w:r>
          </w:p>
        </w:tc>
      </w:tr>
      <w:tr>
        <w:tc>
          <w:tcPr>
            <w:tcW w:type="dxa" w:w="4752"/>
            <w:shd w:val="clear" w:color="auto" w:fill="F2F6FA"/>
          </w:tcPr>
          <w:p>
            <w:pPr>
              <w:spacing w:after="40"/>
            </w:pPr>
            <w:r/>
            <w:r>
              <w:rPr>
                <w:b/>
                <w:sz w:val="18"/>
              </w:rPr>
              <w:t>Parameter-count control</w:t>
            </w:r>
            <w:r>
              <w:rPr>
                <w:b w:val="0"/>
                <w:sz w:val="18"/>
              </w:rPr>
              <w:t xml:space="preserve"> — compare merged (2n) against a single parent trained at 2n.</w:t>
            </w:r>
          </w:p>
        </w:tc>
        <w:tc>
          <w:tcPr>
            <w:tcW w:type="dxa" w:w="4896"/>
            <w:shd w:val="clear" w:color="auto" w:fill="F2F6FA"/>
          </w:tcPr>
          <w:p>
            <w:pPr>
              <w:spacing w:after="40"/>
            </w:pPr>
            <w:r/>
            <w:r>
              <w:rPr>
                <w:b w:val="0"/>
                <w:sz w:val="18"/>
              </w:rPr>
              <w:t>That the merged model’s behaviour is just a size effect.</w:t>
            </w:r>
          </w:p>
        </w:tc>
      </w:tr>
    </w:tbl>
    <w:p>
      <w:pPr>
        <w:spacing w:after="80"/>
      </w:pPr>
    </w:p>
    <w:p>
      <w:pPr>
        <w:pStyle w:val="Heading2"/>
      </w:pPr>
      <w:r>
        <w:rPr>
          <w:b w:val="0"/>
          <w:i w:val="0"/>
        </w:rPr>
        <w:t>2.7  Localization and repair</w:t>
      </w:r>
    </w:p>
    <w:p>
      <w:pPr>
        <w:spacing w:after="100"/>
      </w:pPr>
      <w:r>
        <w:rPr>
          <w:b w:val="0"/>
          <w:i w:val="0"/>
        </w:rPr>
        <w:t>Run only at the θ values where the sweep shows real damage — there is nothing to repair where merging is free.</w:t>
      </w:r>
    </w:p>
    <w:p>
      <w:pPr>
        <w:pStyle w:val="ListNumber"/>
        <w:spacing w:after="60"/>
      </w:pPr>
      <w:r>
        <w:rPr>
          <w:b w:val="0"/>
          <w:i w:val="0"/>
        </w:rPr>
        <w:t>Identify collision neurons: in the merged model, neurons that activate on probes from both target languages, where the corresponding parent neuron was selective for only one.</w:t>
      </w:r>
    </w:p>
    <w:p>
      <w:pPr>
        <w:pStyle w:val="ListNumber"/>
        <w:spacing w:after="60"/>
      </w:pPr>
      <w:r>
        <w:rPr>
          <w:b w:val="0"/>
          <w:i w:val="0"/>
        </w:rPr>
        <w:t>Ablate them (zero the neuron’s row/column in the relevant tensors) and re-measure D.</w:t>
      </w:r>
    </w:p>
    <w:p>
      <w:pPr>
        <w:pStyle w:val="ListNumber"/>
        <w:spacing w:after="60"/>
      </w:pPr>
      <w:r>
        <w:rPr>
          <w:b w:val="0"/>
          <w:i w:val="0"/>
        </w:rPr>
        <w:t>Compare against the random-ablation baseline at matched k.</w:t>
      </w:r>
    </w:p>
    <w:p>
      <w:pPr>
        <w:pStyle w:val="ListNumber"/>
        <w:spacing w:after="60"/>
      </w:pPr>
      <w:r>
        <w:rPr>
          <w:b w:val="0"/>
          <w:i w:val="0"/>
        </w:rPr>
        <w:t>Report the recovery curve as a function of k, including where over-ablation starts to hurt.</w:t>
      </w:r>
    </w:p>
    <w:p>
      <w:pPr>
        <w:spacing w:after="160"/>
      </w:pPr>
      <w:r>
        <w:rPr>
          <w:b/>
          <w:i w:val="0"/>
        </w:rPr>
        <w:t xml:space="preserve">This is the demo people remember: </w:t>
      </w:r>
      <w:r>
        <w:rPr>
          <w:b w:val="0"/>
          <w:i w:val="0"/>
        </w:rPr>
        <w:t>merge two models, watch the output degrade into mixed languages, find the neurons responsible, cut them, watch the output come back. Diagnose, excise, recover — surgery in the literal sense.</w:t>
      </w:r>
    </w:p>
    <w:p>
      <w:r>
        <w:br w:type="page"/>
      </w:r>
    </w:p>
    <w:p>
      <w:pPr>
        <w:pStyle w:val="Heading1"/>
      </w:pPr>
      <w:r>
        <w:rPr>
          <w:b w:val="0"/>
          <w:i w:val="0"/>
        </w:rPr>
        <w:t>3.  The artifact</w:t>
      </w:r>
    </w:p>
    <w:p>
      <w:pPr>
        <w:pStyle w:val="Heading2"/>
      </w:pPr>
      <w:r>
        <w:rPr>
          <w:b w:val="0"/>
          <w:i w:val="0"/>
        </w:rPr>
        <w:t>3.1  Guided narrative, then sandbox</w:t>
      </w:r>
    </w:p>
    <w:p>
      <w:pPr>
        <w:spacing w:after="100"/>
      </w:pPr>
      <w:r>
        <w:rPr>
          <w:b w:val="0"/>
          <w:i w:val="0"/>
        </w:rPr>
        <w:t>The PS is explicit: walk the learner through the insight first, open it up afterwards, and open on a preset already running — no blank canvas, no Run button.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4E79"/>
          </w:tcPr>
          <w:p>
            <w:r/>
            <w:r>
              <w:rPr>
                <w:b/>
                <w:color w:val="FFFFFF"/>
                <w:sz w:val="18"/>
              </w:rPr>
              <w:t>Act</w:t>
            </w:r>
          </w:p>
        </w:tc>
        <w:tc>
          <w:tcPr>
            <w:tcW w:type="dxa" w:w="4176"/>
            <w:shd w:val="clear" w:color="auto" w:fill="1F4E79"/>
          </w:tcPr>
          <w:p>
            <w:r/>
            <w:r>
              <w:rPr>
                <w:b/>
                <w:color w:val="FFFFFF"/>
                <w:sz w:val="18"/>
              </w:rPr>
              <w:t>What the learner sees</w:t>
            </w:r>
          </w:p>
        </w:tc>
        <w:tc>
          <w:tcPr>
            <w:tcW w:type="dxa" w:w="3312"/>
            <w:shd w:val="clear" w:color="auto" w:fill="1F4E79"/>
          </w:tcPr>
          <w:p>
            <w:r/>
            <w:r>
              <w:rPr>
                <w:b/>
                <w:color w:val="FFFFFF"/>
                <w:sz w:val="18"/>
              </w:rPr>
              <w:t>What they do</w:t>
            </w:r>
          </w:p>
        </w:tc>
      </w:tr>
      <w:tr>
        <w:tc>
          <w:tcPr>
            <w:tcW w:type="dxa" w:w="2160"/>
          </w:tcPr>
          <w:p>
            <w:pPr>
              <w:spacing w:after="40"/>
            </w:pPr>
            <w:r/>
            <w:r>
              <w:rPr>
                <w:b/>
                <w:sz w:val="18"/>
              </w:rPr>
              <w:t>1 — The impossible operation</w:t>
            </w:r>
          </w:p>
        </w:tc>
        <w:tc>
          <w:tcPr>
            <w:tcW w:type="dxa" w:w="4176"/>
          </w:tcPr>
          <w:p>
            <w:pPr>
              <w:spacing w:after="40"/>
            </w:pPr>
            <w:r/>
            <w:r>
              <w:rPr>
                <w:b w:val="0"/>
                <w:sz w:val="18"/>
              </w:rPr>
              <w:t>Two trained models, side by side, each fluent in its own target language. A single control: fuse them.</w:t>
            </w:r>
          </w:p>
        </w:tc>
        <w:tc>
          <w:tcPr>
            <w:tcW w:type="dxa" w:w="3312"/>
          </w:tcPr>
          <w:p>
            <w:pPr>
              <w:spacing w:after="40"/>
            </w:pPr>
            <w:r/>
            <w:r>
              <w:rPr>
                <w:b w:val="0"/>
                <w:sz w:val="18"/>
              </w:rPr>
              <w:t>Fuse. It works. Nothing was retrained.</w:t>
            </w:r>
          </w:p>
        </w:tc>
      </w:tr>
      <w:tr>
        <w:tc>
          <w:tcPr>
            <w:tcW w:type="dxa" w:w="2160"/>
            <w:shd w:val="clear" w:color="auto" w:fill="F2F6FA"/>
          </w:tcPr>
          <w:p>
            <w:pPr>
              <w:spacing w:after="40"/>
            </w:pPr>
            <w:r/>
            <w:r>
              <w:rPr>
                <w:b/>
                <w:sz w:val="18"/>
              </w:rPr>
              <w:t>2 — The control that fails</w:t>
            </w:r>
          </w:p>
        </w:tc>
        <w:tc>
          <w:tcPr>
            <w:tcW w:type="dxa" w:w="4176"/>
            <w:shd w:val="clear" w:color="auto" w:fill="F2F6FA"/>
          </w:tcPr>
          <w:p>
            <w:pPr>
              <w:spacing w:after="40"/>
            </w:pPr>
            <w:r/>
            <w:r>
              <w:rPr>
                <w:b w:val="0"/>
                <w:sz w:val="18"/>
              </w:rPr>
              <w:t>The same fusion by averaging — the only merge a Transformer permits between independently trained models.</w:t>
            </w:r>
          </w:p>
        </w:tc>
        <w:tc>
          <w:tcPr>
            <w:tcW w:type="dxa" w:w="3312"/>
            <w:shd w:val="clear" w:color="auto" w:fill="F2F6FA"/>
          </w:tcPr>
          <w:p>
            <w:pPr>
              <w:spacing w:after="40"/>
            </w:pPr>
            <w:r/>
            <w:r>
              <w:rPr>
                <w:b w:val="0"/>
                <w:sz w:val="18"/>
              </w:rPr>
              <w:t xml:space="preserve">Toggle concat/average. Averaging destroys both. </w:t>
            </w:r>
            <w:r>
              <w:rPr>
                <w:b/>
                <w:sz w:val="18"/>
              </w:rPr>
              <w:t>This is the architectural point.</w:t>
            </w:r>
          </w:p>
        </w:tc>
      </w:tr>
      <w:tr>
        <w:tc>
          <w:tcPr>
            <w:tcW w:type="dxa" w:w="2160"/>
          </w:tcPr>
          <w:p>
            <w:pPr>
              <w:spacing w:after="40"/>
            </w:pPr>
            <w:r/>
            <w:r>
              <w:rPr>
                <w:b/>
                <w:sz w:val="18"/>
              </w:rPr>
              <w:t>3 — When does it break?</w:t>
            </w:r>
          </w:p>
        </w:tc>
        <w:tc>
          <w:tcPr>
            <w:tcW w:type="dxa" w:w="4176"/>
          </w:tcPr>
          <w:p>
            <w:pPr>
              <w:spacing w:after="40"/>
            </w:pPr>
            <w:r/>
            <w:r>
              <w:rPr>
                <w:b w:val="0"/>
                <w:sz w:val="18"/>
              </w:rPr>
              <w:t>The phase diagram, live. Learner drags θ and traverses it, watching the merged output degrade.</w:t>
            </w:r>
          </w:p>
        </w:tc>
        <w:tc>
          <w:tcPr>
            <w:tcW w:type="dxa" w:w="3312"/>
          </w:tcPr>
          <w:p>
            <w:pPr>
              <w:spacing w:after="40"/>
            </w:pPr>
            <w:r/>
            <w:r>
              <w:rPr>
                <w:b w:val="0"/>
                <w:sz w:val="18"/>
              </w:rPr>
              <w:t>Find the transition themselves.</w:t>
            </w:r>
          </w:p>
        </w:tc>
      </w:tr>
      <w:tr>
        <w:tc>
          <w:tcPr>
            <w:tcW w:type="dxa" w:w="2160"/>
            <w:shd w:val="clear" w:color="auto" w:fill="F2F6FA"/>
          </w:tcPr>
          <w:p>
            <w:pPr>
              <w:spacing w:after="40"/>
            </w:pPr>
            <w:r/>
            <w:r>
              <w:rPr>
                <w:b/>
                <w:sz w:val="18"/>
              </w:rPr>
              <w:t>4 — Surgery</w:t>
            </w:r>
          </w:p>
        </w:tc>
        <w:tc>
          <w:tcPr>
            <w:tcW w:type="dxa" w:w="4176"/>
            <w:shd w:val="clear" w:color="auto" w:fill="F2F6FA"/>
          </w:tcPr>
          <w:p>
            <w:pPr>
              <w:spacing w:after="40"/>
            </w:pPr>
            <w:r/>
            <w:r>
              <w:rPr>
                <w:b w:val="0"/>
                <w:sz w:val="18"/>
              </w:rPr>
              <w:t>At a damaged point: the collision neurons, highlighted. Ablate them.</w:t>
            </w:r>
          </w:p>
        </w:tc>
        <w:tc>
          <w:tcPr>
            <w:tcW w:type="dxa" w:w="3312"/>
            <w:shd w:val="clear" w:color="auto" w:fill="F2F6FA"/>
          </w:tcPr>
          <w:p>
            <w:pPr>
              <w:spacing w:after="40"/>
            </w:pPr>
            <w:r/>
            <w:r>
              <w:rPr>
                <w:b w:val="0"/>
                <w:sz w:val="18"/>
              </w:rPr>
              <w:t>Cut and watch function return; compare against random ablation.</w:t>
            </w:r>
          </w:p>
        </w:tc>
      </w:tr>
    </w:tbl>
    <w:p>
      <w:pPr>
        <w:spacing w:after="80"/>
      </w:pPr>
    </w:p>
    <w:p>
      <w:pPr>
        <w:pStyle w:val="Heading2"/>
      </w:pPr>
      <w:r>
        <w:rPr>
          <w:b w:val="0"/>
          <w:i w:val="0"/>
        </w:rPr>
        <w:t>3.2  Live vs precomputed — declared honestly</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1F4E79"/>
          </w:tcPr>
          <w:p>
            <w:r/>
            <w:r>
              <w:rPr>
                <w:b/>
                <w:color w:val="FFFFFF"/>
                <w:sz w:val="18"/>
              </w:rPr>
              <w:t>Component</w:t>
            </w:r>
          </w:p>
        </w:tc>
        <w:tc>
          <w:tcPr>
            <w:tcW w:type="dxa" w:w="1872"/>
            <w:shd w:val="clear" w:color="auto" w:fill="1F4E79"/>
          </w:tcPr>
          <w:p>
            <w:r/>
            <w:r>
              <w:rPr>
                <w:b/>
                <w:color w:val="FFFFFF"/>
                <w:sz w:val="18"/>
              </w:rPr>
              <w:t>Status</w:t>
            </w:r>
          </w:p>
        </w:tc>
        <w:tc>
          <w:tcPr>
            <w:tcW w:type="dxa" w:w="4752"/>
            <w:shd w:val="clear" w:color="auto" w:fill="1F4E79"/>
          </w:tcPr>
          <w:p>
            <w:r/>
            <w:r>
              <w:rPr>
                <w:b/>
                <w:color w:val="FFFFFF"/>
                <w:sz w:val="18"/>
              </w:rPr>
              <w:t>Why</w:t>
            </w:r>
          </w:p>
        </w:tc>
      </w:tr>
      <w:tr>
        <w:tc>
          <w:tcPr>
            <w:tcW w:type="dxa" w:w="3024"/>
          </w:tcPr>
          <w:p>
            <w:pPr>
              <w:spacing w:after="40"/>
            </w:pPr>
            <w:r/>
            <w:r>
              <w:rPr>
                <w:b w:val="0"/>
                <w:sz w:val="18"/>
              </w:rPr>
              <w:t>Forward pass / text generation</w:t>
            </w:r>
          </w:p>
        </w:tc>
        <w:tc>
          <w:tcPr>
            <w:tcW w:type="dxa" w:w="1872"/>
          </w:tcPr>
          <w:p>
            <w:pPr>
              <w:spacing w:after="40"/>
            </w:pPr>
            <w:r/>
            <w:r>
              <w:rPr>
                <w:b/>
                <w:sz w:val="18"/>
              </w:rPr>
              <w:t>Live</w:t>
            </w:r>
          </w:p>
        </w:tc>
        <w:tc>
          <w:tcPr>
            <w:tcW w:type="dxa" w:w="4752"/>
          </w:tcPr>
          <w:p>
            <w:pPr>
              <w:spacing w:after="40"/>
            </w:pPr>
            <w:r/>
            <w:r>
              <w:rPr>
                <w:b w:val="0"/>
                <w:sz w:val="18"/>
              </w:rPr>
              <w:t>Real BDH-GPU inference in the browser on exported weights.</w:t>
            </w:r>
          </w:p>
        </w:tc>
      </w:tr>
      <w:tr>
        <w:tc>
          <w:tcPr>
            <w:tcW w:type="dxa" w:w="3024"/>
            <w:shd w:val="clear" w:color="auto" w:fill="F2F6FA"/>
          </w:tcPr>
          <w:p>
            <w:pPr>
              <w:spacing w:after="40"/>
            </w:pPr>
            <w:r/>
            <w:r>
              <w:rPr>
                <w:b w:val="0"/>
                <w:sz w:val="18"/>
              </w:rPr>
              <w:t>Concat and average merges</w:t>
            </w:r>
          </w:p>
        </w:tc>
        <w:tc>
          <w:tcPr>
            <w:tcW w:type="dxa" w:w="1872"/>
            <w:shd w:val="clear" w:color="auto" w:fill="F2F6FA"/>
          </w:tcPr>
          <w:p>
            <w:pPr>
              <w:spacing w:after="40"/>
            </w:pPr>
            <w:r/>
            <w:r>
              <w:rPr>
                <w:b/>
                <w:sz w:val="18"/>
              </w:rPr>
              <w:t>Live</w:t>
            </w:r>
          </w:p>
        </w:tc>
        <w:tc>
          <w:tcPr>
            <w:tcW w:type="dxa" w:w="4752"/>
            <w:shd w:val="clear" w:color="auto" w:fill="F2F6FA"/>
          </w:tcPr>
          <w:p>
            <w:pPr>
              <w:spacing w:after="40"/>
            </w:pPr>
            <w:r/>
            <w:r>
              <w:rPr>
                <w:b w:val="0"/>
                <w:sz w:val="18"/>
              </w:rPr>
              <w:t>Tensor operations run client-side at interaction time.</w:t>
            </w:r>
          </w:p>
        </w:tc>
      </w:tr>
      <w:tr>
        <w:tc>
          <w:tcPr>
            <w:tcW w:type="dxa" w:w="3024"/>
          </w:tcPr>
          <w:p>
            <w:pPr>
              <w:spacing w:after="40"/>
            </w:pPr>
            <w:r/>
            <w:r>
              <w:rPr>
                <w:b w:val="0"/>
                <w:sz w:val="18"/>
              </w:rPr>
              <w:t>Neuron ablation</w:t>
            </w:r>
          </w:p>
        </w:tc>
        <w:tc>
          <w:tcPr>
            <w:tcW w:type="dxa" w:w="1872"/>
          </w:tcPr>
          <w:p>
            <w:pPr>
              <w:spacing w:after="40"/>
            </w:pPr>
            <w:r/>
            <w:r>
              <w:rPr>
                <w:b/>
                <w:sz w:val="18"/>
              </w:rPr>
              <w:t>Live</w:t>
            </w:r>
          </w:p>
        </w:tc>
        <w:tc>
          <w:tcPr>
            <w:tcW w:type="dxa" w:w="4752"/>
          </w:tcPr>
          <w:p>
            <w:pPr>
              <w:spacing w:after="40"/>
            </w:pPr>
            <w:r/>
            <w:r>
              <w:rPr>
                <w:b w:val="0"/>
                <w:sz w:val="18"/>
              </w:rPr>
              <w:t>Masking applied to the live model.</w:t>
            </w:r>
          </w:p>
        </w:tc>
      </w:tr>
      <w:tr>
        <w:tc>
          <w:tcPr>
            <w:tcW w:type="dxa" w:w="3024"/>
            <w:shd w:val="clear" w:color="auto" w:fill="F2F6FA"/>
          </w:tcPr>
          <w:p>
            <w:pPr>
              <w:spacing w:after="40"/>
            </w:pPr>
            <w:r/>
            <w:r>
              <w:rPr>
                <w:b w:val="0"/>
                <w:sz w:val="18"/>
              </w:rPr>
              <w:t>Phase diagram points</w:t>
            </w:r>
          </w:p>
        </w:tc>
        <w:tc>
          <w:tcPr>
            <w:tcW w:type="dxa" w:w="1872"/>
            <w:shd w:val="clear" w:color="auto" w:fill="F2F6FA"/>
          </w:tcPr>
          <w:p>
            <w:pPr>
              <w:spacing w:after="40"/>
            </w:pPr>
            <w:r/>
            <w:r>
              <w:rPr>
                <w:b/>
                <w:sz w:val="18"/>
              </w:rPr>
              <w:t>Precomputed</w:t>
            </w:r>
          </w:p>
        </w:tc>
        <w:tc>
          <w:tcPr>
            <w:tcW w:type="dxa" w:w="4752"/>
            <w:shd w:val="clear" w:color="auto" w:fill="F2F6FA"/>
          </w:tcPr>
          <w:p>
            <w:pPr>
              <w:spacing w:after="40"/>
            </w:pPr>
            <w:r/>
            <w:r>
              <w:rPr>
                <w:b w:val="0"/>
                <w:sz w:val="18"/>
              </w:rPr>
              <w:t>66 models cannot train in a browser. Shipped as data, labelled as such.</w:t>
            </w:r>
          </w:p>
        </w:tc>
      </w:tr>
      <w:tr>
        <w:tc>
          <w:tcPr>
            <w:tcW w:type="dxa" w:w="3024"/>
          </w:tcPr>
          <w:p>
            <w:pPr>
              <w:spacing w:after="40"/>
            </w:pPr>
            <w:r/>
            <w:r>
              <w:rPr>
                <w:b w:val="0"/>
                <w:sz w:val="18"/>
              </w:rPr>
              <w:t>Parent weights</w:t>
            </w:r>
          </w:p>
        </w:tc>
        <w:tc>
          <w:tcPr>
            <w:tcW w:type="dxa" w:w="1872"/>
          </w:tcPr>
          <w:p>
            <w:pPr>
              <w:spacing w:after="40"/>
            </w:pPr>
            <w:r/>
            <w:r>
              <w:rPr>
                <w:b/>
                <w:sz w:val="18"/>
              </w:rPr>
              <w:t>Precomputed</w:t>
            </w:r>
          </w:p>
        </w:tc>
        <w:tc>
          <w:tcPr>
            <w:tcW w:type="dxa" w:w="4752"/>
          </w:tcPr>
          <w:p>
            <w:pPr>
              <w:spacing w:after="40"/>
            </w:pPr>
            <w:r/>
            <w:r>
              <w:rPr>
                <w:b w:val="0"/>
                <w:sz w:val="18"/>
              </w:rPr>
              <w:t>Trained offline, exported, committed.</w:t>
            </w:r>
          </w:p>
        </w:tc>
      </w:tr>
      <w:tr>
        <w:tc>
          <w:tcPr>
            <w:tcW w:type="dxa" w:w="3024"/>
            <w:shd w:val="clear" w:color="auto" w:fill="F2F6FA"/>
          </w:tcPr>
          <w:p>
            <w:pPr>
              <w:spacing w:after="40"/>
            </w:pPr>
            <w:r/>
            <w:r>
              <w:rPr>
                <w:b w:val="0"/>
                <w:sz w:val="18"/>
              </w:rPr>
              <w:t>Any explanatory animation</w:t>
            </w:r>
          </w:p>
        </w:tc>
        <w:tc>
          <w:tcPr>
            <w:tcW w:type="dxa" w:w="1872"/>
            <w:shd w:val="clear" w:color="auto" w:fill="F2F6FA"/>
          </w:tcPr>
          <w:p>
            <w:pPr>
              <w:spacing w:after="40"/>
            </w:pPr>
            <w:r/>
            <w:r>
              <w:rPr>
                <w:b/>
                <w:sz w:val="18"/>
              </w:rPr>
              <w:t>Illustration</w:t>
            </w:r>
          </w:p>
        </w:tc>
        <w:tc>
          <w:tcPr>
            <w:tcW w:type="dxa" w:w="4752"/>
            <w:shd w:val="clear" w:color="auto" w:fill="F2F6FA"/>
          </w:tcPr>
          <w:p>
            <w:pPr>
              <w:spacing w:after="40"/>
            </w:pPr>
            <w:r/>
            <w:r>
              <w:rPr>
                <w:b w:val="0"/>
                <w:sz w:val="18"/>
              </w:rPr>
              <w:t>Labelled as a teaching simplification, per the PS.</w:t>
            </w:r>
          </w:p>
        </w:tc>
      </w:tr>
    </w:tbl>
    <w:p>
      <w:pPr>
        <w:spacing w:after="80"/>
      </w:pPr>
    </w:p>
    <w:p>
      <w:pPr>
        <w:spacing w:after="160"/>
      </w:pPr>
      <w:r>
        <w:rPr>
          <w:b/>
          <w:i w:val="0"/>
        </w:rPr>
        <w:t xml:space="preserve">The README, the artifact UI, and the one-page summary must all carry this table. </w:t>
      </w:r>
      <w:r>
        <w:rPr>
          <w:b w:val="0"/>
          <w:i w:val="0"/>
        </w:rPr>
        <w:t>"Interactive substrate and honesty" is 15 points, and the honesty half is the easy half to score.</w:t>
      </w:r>
    </w:p>
    <w:p>
      <w:pPr>
        <w:pStyle w:val="Heading2"/>
      </w:pPr>
      <w:r>
        <w:rPr>
          <w:b w:val="0"/>
          <w:i w:val="0"/>
        </w:rPr>
        <w:t>3.3  Truth beside estimate</w:t>
      </w:r>
    </w:p>
    <w:p>
      <w:pPr>
        <w:spacing w:after="160"/>
      </w:pPr>
      <w:r>
        <w:rPr>
          <w:b w:val="0"/>
          <w:i w:val="0"/>
        </w:rPr>
        <w:t>Every generation panel shows four things for the same prompt: parent A’s output, parent B’s output, the merged model’s output, and the oracle target. The gap is the lesson.</w:t>
      </w:r>
    </w:p>
    <w:p>
      <w:r>
        <w:br w:type="page"/>
      </w:r>
    </w:p>
    <w:p>
      <w:pPr>
        <w:pStyle w:val="Heading1"/>
      </w:pPr>
      <w:r>
        <w:rPr>
          <w:b w:val="0"/>
          <w:i w:val="0"/>
        </w:rPr>
        <w:t>4.  Technical stack</w:t>
      </w:r>
    </w:p>
    <w:p>
      <w:pPr>
        <w:pStyle w:val="Heading2"/>
      </w:pPr>
      <w:r>
        <w:rPr>
          <w:b w:val="0"/>
          <w:i w:val="0"/>
        </w:rPr>
        <w:t>4.1  Model side (Python)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4E79"/>
          </w:tcPr>
          <w:p>
            <w:r/>
            <w:r>
              <w:rPr>
                <w:b/>
                <w:color w:val="FFFFFF"/>
                <w:sz w:val="18"/>
              </w:rPr>
              <w:t>Tool</w:t>
            </w:r>
          </w:p>
        </w:tc>
        <w:tc>
          <w:tcPr>
            <w:tcW w:type="dxa" w:w="3600"/>
            <w:shd w:val="clear" w:color="auto" w:fill="1F4E79"/>
          </w:tcPr>
          <w:p>
            <w:r/>
            <w:r>
              <w:rPr>
                <w:b/>
                <w:color w:val="FFFFFF"/>
                <w:sz w:val="18"/>
              </w:rPr>
              <w:t>Use</w:t>
            </w:r>
          </w:p>
        </w:tc>
        <w:tc>
          <w:tcPr>
            <w:tcW w:type="dxa" w:w="4320"/>
            <w:shd w:val="clear" w:color="auto" w:fill="1F4E79"/>
          </w:tcPr>
          <w:p>
            <w:r/>
            <w:r>
              <w:rPr>
                <w:b/>
                <w:color w:val="FFFFFF"/>
                <w:sz w:val="18"/>
              </w:rPr>
              <w:t>Rationale</w:t>
            </w:r>
          </w:p>
        </w:tc>
      </w:tr>
      <w:tr>
        <w:tc>
          <w:tcPr>
            <w:tcW w:type="dxa" w:w="1728"/>
          </w:tcPr>
          <w:p>
            <w:pPr>
              <w:spacing w:after="40"/>
            </w:pPr>
            <w:r/>
            <w:r>
              <w:rPr>
                <w:b/>
                <w:sz w:val="18"/>
              </w:rPr>
              <w:t>PyTorch</w:t>
            </w:r>
          </w:p>
        </w:tc>
        <w:tc>
          <w:tcPr>
            <w:tcW w:type="dxa" w:w="3600"/>
          </w:tcPr>
          <w:p>
            <w:pPr>
              <w:spacing w:after="40"/>
            </w:pPr>
            <w:r/>
            <w:r>
              <w:rPr>
                <w:b w:val="0"/>
                <w:sz w:val="18"/>
              </w:rPr>
              <w:t>BDH-GPU implementation, training loop, merge ops.</w:t>
            </w:r>
          </w:p>
        </w:tc>
        <w:tc>
          <w:tcPr>
            <w:tcW w:type="dxa" w:w="4320"/>
          </w:tcPr>
          <w:p>
            <w:pPr>
              <w:spacing w:after="40"/>
            </w:pPr>
            <w:r/>
            <w:r>
              <w:rPr>
                <w:b w:val="0"/>
                <w:sz w:val="18"/>
              </w:rPr>
              <w:t>What pathwaycom/bdh uses. CPU is sufficient at our scale; no CUDA requirement.</w:t>
            </w:r>
          </w:p>
        </w:tc>
      </w:tr>
      <w:tr>
        <w:tc>
          <w:tcPr>
            <w:tcW w:type="dxa" w:w="1728"/>
            <w:shd w:val="clear" w:color="auto" w:fill="F2F6FA"/>
          </w:tcPr>
          <w:p>
            <w:pPr>
              <w:spacing w:after="40"/>
            </w:pPr>
            <w:r/>
            <w:r>
              <w:rPr>
                <w:b/>
                <w:sz w:val="18"/>
              </w:rPr>
              <w:t>NumPy</w:t>
            </w:r>
          </w:p>
        </w:tc>
        <w:tc>
          <w:tcPr>
            <w:tcW w:type="dxa" w:w="3600"/>
            <w:shd w:val="clear" w:color="auto" w:fill="F2F6FA"/>
          </w:tcPr>
          <w:p>
            <w:pPr>
              <w:spacing w:after="40"/>
            </w:pPr>
            <w:r/>
            <w:r>
              <w:rPr>
                <w:b w:val="0"/>
                <w:sz w:val="18"/>
              </w:rPr>
              <w:t>Probe analysis, export buffers.</w:t>
            </w:r>
          </w:p>
        </w:tc>
        <w:tc>
          <w:tcPr>
            <w:tcW w:type="dxa" w:w="4320"/>
            <w:shd w:val="clear" w:color="auto" w:fill="F2F6FA"/>
          </w:tcPr>
          <w:p>
            <w:pPr>
              <w:spacing w:after="40"/>
            </w:pPr>
            <w:r/>
            <w:r>
              <w:rPr>
                <w:b w:val="0"/>
                <w:sz w:val="18"/>
              </w:rPr>
              <w:t>Already a dependency.</w:t>
            </w:r>
          </w:p>
        </w:tc>
      </w:tr>
      <w:tr>
        <w:tc>
          <w:tcPr>
            <w:tcW w:type="dxa" w:w="1728"/>
          </w:tcPr>
          <w:p>
            <w:pPr>
              <w:spacing w:after="40"/>
            </w:pPr>
            <w:r/>
            <w:r>
              <w:rPr>
                <w:b/>
                <w:sz w:val="18"/>
              </w:rPr>
              <w:t>SciPy</w:t>
            </w:r>
          </w:p>
        </w:tc>
        <w:tc>
          <w:tcPr>
            <w:tcW w:type="dxa" w:w="3600"/>
          </w:tcPr>
          <w:p>
            <w:pPr>
              <w:spacing w:after="40"/>
            </w:pPr>
            <w:r/>
            <w:r>
              <w:rPr>
                <w:b w:val="0"/>
                <w:sz w:val="18"/>
              </w:rPr>
              <w:t>Hungarian matching for the overlap metric (</w:t>
            </w:r>
            <w:r>
              <w:rPr>
                <w:b/>
                <w:sz w:val="18"/>
              </w:rPr>
              <w:t>linear_sum_assignment</w:t>
            </w:r>
            <w:r>
              <w:rPr>
                <w:b w:val="0"/>
                <w:sz w:val="18"/>
              </w:rPr>
              <w:t>).</w:t>
            </w:r>
          </w:p>
        </w:tc>
        <w:tc>
          <w:tcPr>
            <w:tcW w:type="dxa" w:w="4320"/>
          </w:tcPr>
          <w:p>
            <w:pPr>
              <w:spacing w:after="40"/>
            </w:pPr>
            <w:r/>
            <w:r>
              <w:rPr>
                <w:b w:val="0"/>
                <w:sz w:val="18"/>
              </w:rPr>
              <w:t>The one addition beyond the official repo’s deps.</w:t>
            </w:r>
          </w:p>
        </w:tc>
      </w:tr>
      <w:tr>
        <w:tc>
          <w:tcPr>
            <w:tcW w:type="dxa" w:w="1728"/>
            <w:shd w:val="clear" w:color="auto" w:fill="F2F6FA"/>
          </w:tcPr>
          <w:p>
            <w:pPr>
              <w:spacing w:after="40"/>
            </w:pPr>
            <w:r/>
            <w:r>
              <w:rPr>
                <w:b/>
                <w:sz w:val="18"/>
              </w:rPr>
              <w:t>uv</w:t>
            </w:r>
          </w:p>
        </w:tc>
        <w:tc>
          <w:tcPr>
            <w:tcW w:type="dxa" w:w="3600"/>
            <w:shd w:val="clear" w:color="auto" w:fill="F2F6FA"/>
          </w:tcPr>
          <w:p>
            <w:pPr>
              <w:spacing w:after="40"/>
            </w:pPr>
            <w:r/>
            <w:r>
              <w:rPr>
                <w:b w:val="0"/>
                <w:sz w:val="18"/>
              </w:rPr>
              <w:t>Environment and lockfile.</w:t>
            </w:r>
          </w:p>
        </w:tc>
        <w:tc>
          <w:tcPr>
            <w:tcW w:type="dxa" w:w="4320"/>
            <w:shd w:val="clear" w:color="auto" w:fill="F2F6FA"/>
          </w:tcPr>
          <w:p>
            <w:pPr>
              <w:spacing w:after="40"/>
            </w:pPr>
            <w:r/>
            <w:r>
              <w:rPr>
                <w:b w:val="0"/>
                <w:sz w:val="18"/>
              </w:rPr>
              <w:t>Already in use. Lockfile is part of reproducibility.</w:t>
            </w:r>
          </w:p>
        </w:tc>
      </w:tr>
      <w:tr>
        <w:tc>
          <w:tcPr>
            <w:tcW w:type="dxa" w:w="1728"/>
          </w:tcPr>
          <w:p>
            <w:pPr>
              <w:spacing w:after="40"/>
            </w:pPr>
            <w:r/>
            <w:r>
              <w:rPr>
                <w:b/>
                <w:sz w:val="18"/>
              </w:rPr>
              <w:t>pytest</w:t>
            </w:r>
          </w:p>
        </w:tc>
        <w:tc>
          <w:tcPr>
            <w:tcW w:type="dxa" w:w="3600"/>
          </w:tcPr>
          <w:p>
            <w:pPr>
              <w:spacing w:after="40"/>
            </w:pPr>
            <w:r/>
            <w:r>
              <w:rPr>
                <w:b w:val="0"/>
                <w:sz w:val="18"/>
              </w:rPr>
              <w:t>Merge-rule test; export-schema test.</w:t>
            </w:r>
          </w:p>
        </w:tc>
        <w:tc>
          <w:tcPr>
            <w:tcW w:type="dxa" w:w="4320"/>
          </w:tcPr>
          <w:p>
            <w:pPr>
              <w:spacing w:after="40"/>
            </w:pPr>
            <w:r/>
            <w:r>
              <w:rPr>
                <w:b w:val="0"/>
                <w:sz w:val="18"/>
              </w:rPr>
              <w:t>test_merge.py is the live-defence exhibit.</w:t>
            </w:r>
          </w:p>
        </w:tc>
      </w:tr>
      <w:tr>
        <w:tc>
          <w:tcPr>
            <w:tcW w:type="dxa" w:w="1728"/>
            <w:shd w:val="clear" w:color="auto" w:fill="F2F6FA"/>
          </w:tcPr>
          <w:p>
            <w:pPr>
              <w:spacing w:after="40"/>
            </w:pPr>
            <w:r/>
            <w:r>
              <w:rPr>
                <w:b/>
                <w:sz w:val="18"/>
              </w:rPr>
              <w:t>Matplotlib</w:t>
            </w:r>
          </w:p>
        </w:tc>
        <w:tc>
          <w:tcPr>
            <w:tcW w:type="dxa" w:w="3600"/>
            <w:shd w:val="clear" w:color="auto" w:fill="F2F6FA"/>
          </w:tcPr>
          <w:p>
            <w:pPr>
              <w:spacing w:after="40"/>
            </w:pPr>
            <w:r/>
            <w:r>
              <w:rPr>
                <w:b w:val="0"/>
                <w:sz w:val="18"/>
              </w:rPr>
              <w:t>Static phase-diagram figure for the one-page PDF only.</w:t>
            </w:r>
          </w:p>
        </w:tc>
        <w:tc>
          <w:tcPr>
            <w:tcW w:type="dxa" w:w="4320"/>
            <w:shd w:val="clear" w:color="auto" w:fill="F2F6FA"/>
          </w:tcPr>
          <w:p>
            <w:pPr>
              <w:spacing w:after="40"/>
            </w:pPr>
            <w:r/>
            <w:r>
              <w:rPr>
                <w:b w:val="0"/>
                <w:sz w:val="18"/>
              </w:rPr>
              <w:t>The interactive chart is separate; do not couple them.</w:t>
            </w:r>
          </w:p>
        </w:tc>
      </w:tr>
    </w:tbl>
    <w:p>
      <w:pPr>
        <w:spacing w:after="80"/>
      </w:pPr>
    </w:p>
    <w:p>
      <w:pPr>
        <w:spacing w:after="160"/>
      </w:pPr>
      <w:r>
        <w:rPr>
          <w:b/>
          <w:i w:val="0"/>
        </w:rPr>
        <w:t xml:space="preserve">Sweep orchestration: a plain Python loop writing one CSV row per run. </w:t>
      </w:r>
      <w:r>
        <w:rPr>
          <w:b w:val="0"/>
          <w:i w:val="0"/>
        </w:rPr>
        <w:t>No Hydra, no Optuna, no MLflow, no Weights &amp; Biases. 66 tiny runs do not need an experiment framework, and every one of those tools is a half-day of configuration we do not have.</w:t>
      </w:r>
    </w:p>
    <w:p>
      <w:pPr>
        <w:pStyle w:val="Heading2"/>
      </w:pPr>
      <w:r>
        <w:rPr>
          <w:b w:val="0"/>
          <w:i w:val="0"/>
        </w:rPr>
        <w:t>4.2  Web side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4E79"/>
          </w:tcPr>
          <w:p>
            <w:r/>
            <w:r>
              <w:rPr>
                <w:b/>
                <w:color w:val="FFFFFF"/>
                <w:sz w:val="18"/>
              </w:rPr>
              <w:t>Tool</w:t>
            </w:r>
          </w:p>
        </w:tc>
        <w:tc>
          <w:tcPr>
            <w:tcW w:type="dxa" w:w="2736"/>
            <w:shd w:val="clear" w:color="auto" w:fill="1F4E79"/>
          </w:tcPr>
          <w:p>
            <w:r/>
            <w:r>
              <w:rPr>
                <w:b/>
                <w:color w:val="FFFFFF"/>
                <w:sz w:val="18"/>
              </w:rPr>
              <w:t>Use</w:t>
            </w:r>
          </w:p>
        </w:tc>
        <w:tc>
          <w:tcPr>
            <w:tcW w:type="dxa" w:w="4752"/>
            <w:shd w:val="clear" w:color="auto" w:fill="1F4E79"/>
          </w:tcPr>
          <w:p>
            <w:r/>
            <w:r>
              <w:rPr>
                <w:b/>
                <w:color w:val="FFFFFF"/>
                <w:sz w:val="18"/>
              </w:rPr>
              <w:t>Rationale</w:t>
            </w:r>
          </w:p>
        </w:tc>
      </w:tr>
      <w:tr>
        <w:tc>
          <w:tcPr>
            <w:tcW w:type="dxa" w:w="2160"/>
          </w:tcPr>
          <w:p>
            <w:pPr>
              <w:spacing w:after="40"/>
            </w:pPr>
            <w:r/>
            <w:r>
              <w:rPr>
                <w:b/>
                <w:sz w:val="18"/>
              </w:rPr>
              <w:t>Vite</w:t>
            </w:r>
          </w:p>
        </w:tc>
        <w:tc>
          <w:tcPr>
            <w:tcW w:type="dxa" w:w="2736"/>
          </w:tcPr>
          <w:p>
            <w:pPr>
              <w:spacing w:after="40"/>
            </w:pPr>
            <w:r/>
            <w:r>
              <w:rPr>
                <w:b w:val="0"/>
                <w:sz w:val="18"/>
              </w:rPr>
              <w:t>Dev server and static build.</w:t>
            </w:r>
          </w:p>
        </w:tc>
        <w:tc>
          <w:tcPr>
            <w:tcW w:type="dxa" w:w="4752"/>
          </w:tcPr>
          <w:p>
            <w:pPr>
              <w:spacing w:after="40"/>
            </w:pPr>
            <w:r/>
            <w:r>
              <w:rPr>
                <w:b w:val="0"/>
                <w:sz w:val="18"/>
              </w:rPr>
              <w:t>Standard, fast, outputs plain static files. Effectively non-negotiable.</w:t>
            </w:r>
          </w:p>
        </w:tc>
      </w:tr>
      <w:tr>
        <w:tc>
          <w:tcPr>
            <w:tcW w:type="dxa" w:w="2160"/>
            <w:shd w:val="clear" w:color="auto" w:fill="F2F6FA"/>
          </w:tcPr>
          <w:p>
            <w:pPr>
              <w:spacing w:after="40"/>
            </w:pPr>
            <w:r/>
            <w:r>
              <w:rPr>
                <w:b/>
                <w:sz w:val="18"/>
              </w:rPr>
              <w:t>Svelte</w:t>
            </w:r>
            <w:r>
              <w:rPr>
                <w:b w:val="0"/>
                <w:sz w:val="18"/>
              </w:rPr>
              <w:t xml:space="preserve"> (recommended) or </w:t>
            </w:r>
            <w:r>
              <w:rPr>
                <w:b/>
                <w:sz w:val="18"/>
              </w:rPr>
              <w:t>React</w:t>
            </w:r>
          </w:p>
        </w:tc>
        <w:tc>
          <w:tcPr>
            <w:tcW w:type="dxa" w:w="2736"/>
            <w:shd w:val="clear" w:color="auto" w:fill="F2F6FA"/>
          </w:tcPr>
          <w:p>
            <w:pPr>
              <w:spacing w:after="40"/>
            </w:pPr>
            <w:r/>
            <w:r>
              <w:rPr>
                <w:b w:val="0"/>
                <w:sz w:val="18"/>
              </w:rPr>
              <w:t>Sandbox UI state.</w:t>
            </w:r>
          </w:p>
        </w:tc>
        <w:tc>
          <w:tcPr>
            <w:tcW w:type="dxa" w:w="4752"/>
            <w:shd w:val="clear" w:color="auto" w:fill="F2F6FA"/>
          </w:tcPr>
          <w:p>
            <w:pPr>
              <w:spacing w:after="40"/>
            </w:pPr>
            <w:r/>
            <w:r>
              <w:rPr>
                <w:b w:val="0"/>
                <w:sz w:val="18"/>
              </w:rPr>
              <w:t xml:space="preserve">Six-plus interacting controls is past what hand-rolled DOM updates handle cleanly. Svelte for bundle size and less boilerplate; </w:t>
            </w:r>
            <w:r>
              <w:rPr>
                <w:b/>
                <w:sz w:val="18"/>
              </w:rPr>
              <w:t>React if the team already knows it</w:t>
            </w:r>
            <w:r>
              <w:rPr>
                <w:b w:val="0"/>
                <w:sz w:val="18"/>
              </w:rPr>
              <w:t xml:space="preserve"> — familiarity beats elegance in a 7-day build.</w:t>
            </w:r>
          </w:p>
        </w:tc>
      </w:tr>
      <w:tr>
        <w:tc>
          <w:tcPr>
            <w:tcW w:type="dxa" w:w="2160"/>
          </w:tcPr>
          <w:p>
            <w:pPr>
              <w:spacing w:after="40"/>
            </w:pPr>
            <w:r/>
            <w:r>
              <w:rPr>
                <w:b/>
                <w:sz w:val="18"/>
              </w:rPr>
              <w:t>Plain JS + Float32Array</w:t>
            </w:r>
          </w:p>
        </w:tc>
        <w:tc>
          <w:tcPr>
            <w:tcW w:type="dxa" w:w="2736"/>
          </w:tcPr>
          <w:p>
            <w:pPr>
              <w:spacing w:after="40"/>
            </w:pPr>
            <w:r/>
            <w:r>
              <w:rPr>
                <w:b w:val="0"/>
                <w:sz w:val="18"/>
              </w:rPr>
              <w:t>BDH-GPU forward pass.</w:t>
            </w:r>
          </w:p>
        </w:tc>
        <w:tc>
          <w:tcPr>
            <w:tcW w:type="dxa" w:w="4752"/>
          </w:tcPr>
          <w:p>
            <w:pPr>
              <w:spacing w:after="40"/>
            </w:pPr>
            <w:r/>
            <w:r>
              <w:rPr>
                <w:b w:val="0"/>
                <w:sz w:val="18"/>
              </w:rPr>
              <w:t>Four matmuls. At n≈2048, d=64 this is well within plain-JS budget. Measure before optimizing.</w:t>
            </w:r>
          </w:p>
        </w:tc>
      </w:tr>
      <w:tr>
        <w:tc>
          <w:tcPr>
            <w:tcW w:type="dxa" w:w="2160"/>
            <w:shd w:val="clear" w:color="auto" w:fill="F2F6FA"/>
          </w:tcPr>
          <w:p>
            <w:pPr>
              <w:spacing w:after="40"/>
            </w:pPr>
            <w:r/>
            <w:r>
              <w:rPr>
                <w:b/>
                <w:sz w:val="18"/>
              </w:rPr>
              <w:t>Canvas 2D</w:t>
            </w:r>
          </w:p>
        </w:tc>
        <w:tc>
          <w:tcPr>
            <w:tcW w:type="dxa" w:w="2736"/>
            <w:shd w:val="clear" w:color="auto" w:fill="F2F6FA"/>
          </w:tcPr>
          <w:p>
            <w:pPr>
              <w:spacing w:after="40"/>
            </w:pPr>
            <w:r/>
            <w:r>
              <w:rPr>
                <w:b w:val="0"/>
                <w:sz w:val="18"/>
              </w:rPr>
              <w:t>Neuron activation heatmaps.</w:t>
            </w:r>
          </w:p>
        </w:tc>
        <w:tc>
          <w:tcPr>
            <w:tcW w:type="dxa" w:w="4752"/>
            <w:shd w:val="clear" w:color="auto" w:fill="F2F6FA"/>
          </w:tcPr>
          <w:p>
            <w:pPr>
              <w:spacing w:after="40"/>
            </w:pPr>
            <w:r/>
            <w:r>
              <w:rPr>
                <w:b w:val="0"/>
                <w:sz w:val="18"/>
              </w:rPr>
              <w:t>Thousands of cells; SVG would choke.</w:t>
            </w:r>
          </w:p>
        </w:tc>
      </w:tr>
      <w:tr>
        <w:tc>
          <w:tcPr>
            <w:tcW w:type="dxa" w:w="2160"/>
          </w:tcPr>
          <w:p>
            <w:pPr>
              <w:spacing w:after="40"/>
            </w:pPr>
            <w:r/>
            <w:r>
              <w:rPr>
                <w:b/>
                <w:sz w:val="18"/>
              </w:rPr>
              <w:t>Hand-rolled SVG</w:t>
            </w:r>
          </w:p>
        </w:tc>
        <w:tc>
          <w:tcPr>
            <w:tcW w:type="dxa" w:w="2736"/>
          </w:tcPr>
          <w:p>
            <w:pPr>
              <w:spacing w:after="40"/>
            </w:pPr>
            <w:r/>
            <w:r>
              <w:rPr>
                <w:b w:val="0"/>
                <w:sz w:val="18"/>
              </w:rPr>
              <w:t>Phase diagram.</w:t>
            </w:r>
          </w:p>
        </w:tc>
        <w:tc>
          <w:tcPr>
            <w:tcW w:type="dxa" w:w="4752"/>
          </w:tcPr>
          <w:p>
            <w:pPr>
              <w:spacing w:after="40"/>
            </w:pPr>
            <w:r/>
            <w:r>
              <w:rPr>
                <w:b w:val="0"/>
                <w:sz w:val="18"/>
              </w:rPr>
              <w:t xml:space="preserve">One chart with custom interaction. A charting library would be fought, not used. </w:t>
            </w:r>
            <w:r>
              <w:rPr>
                <w:b/>
                <w:sz w:val="18"/>
              </w:rPr>
              <w:t>d3-scale</w:t>
            </w:r>
            <w:r>
              <w:rPr>
                <w:b w:val="0"/>
                <w:sz w:val="18"/>
              </w:rPr>
              <w:t xml:space="preserve"> alone is a reasonable optional import.</w:t>
            </w:r>
          </w:p>
        </w:tc>
      </w:tr>
    </w:tbl>
    <w:p>
      <w:pPr>
        <w:spacing w:after="80"/>
      </w:pPr>
    </w:p>
    <w:p>
      <w:pPr>
        <w:pStyle w:val="Heading3"/>
      </w:pPr>
      <w:r>
        <w:rPr>
          <w:b w:val="0"/>
          <w:i w:val="0"/>
        </w:rPr>
        <w:t>Explicitly rejected</w:t>
      </w:r>
    </w:p>
    <w:p>
      <w:pPr>
        <w:pStyle w:val="ListBullet"/>
        <w:spacing w:after="60"/>
      </w:pPr>
      <w:r>
        <w:rPr>
          <w:b/>
          <w:i w:val="0"/>
        </w:rPr>
        <w:t>Next.js</w:t>
      </w:r>
      <w:r>
        <w:rPr>
          <w:b w:val="0"/>
          <w:i w:val="0"/>
        </w:rPr>
        <w:t xml:space="preserve"> — SSR solves a problem we do not have and complicates static deploy.</w:t>
      </w:r>
    </w:p>
    <w:p>
      <w:pPr>
        <w:pStyle w:val="ListBullet"/>
        <w:spacing w:after="60"/>
      </w:pPr>
      <w:r>
        <w:rPr>
          <w:b/>
          <w:i w:val="0"/>
        </w:rPr>
        <w:t>ONNX Runtime Web / TensorFlow.js</w:t>
      </w:r>
      <w:r>
        <w:rPr>
          <w:b w:val="0"/>
          <w:i w:val="0"/>
        </w:rPr>
        <w:t xml:space="preserve"> — megabytes of runtime to do four matmuls we can write in fifty lines, and it puts a black box between us and the thing we must defend line by line.</w:t>
      </w:r>
    </w:p>
    <w:p>
      <w:pPr>
        <w:pStyle w:val="ListBullet"/>
        <w:spacing w:after="60"/>
      </w:pPr>
      <w:r>
        <w:rPr>
          <w:b/>
          <w:i w:val="0"/>
        </w:rPr>
        <w:t>WebGPU / WASM</w:t>
      </w:r>
      <w:r>
        <w:rPr>
          <w:b w:val="0"/>
          <w:i w:val="0"/>
        </w:rPr>
        <w:t xml:space="preserve"> — premature. Revisit only if profiling shows plain JS misses the sub-second requirement.</w:t>
      </w:r>
    </w:p>
    <w:p>
      <w:pPr>
        <w:pStyle w:val="ListBullet"/>
        <w:spacing w:after="60"/>
      </w:pPr>
      <w:r>
        <w:rPr>
          <w:b/>
          <w:i w:val="0"/>
        </w:rPr>
        <w:t>D3 (full)</w:t>
      </w:r>
      <w:r>
        <w:rPr>
          <w:b w:val="0"/>
          <w:i w:val="0"/>
        </w:rPr>
        <w:t xml:space="preserve"> , Chart.js, Plotly — heavier than the one chart we need.</w:t>
      </w:r>
    </w:p>
    <w:p>
      <w:pPr>
        <w:pStyle w:val="ListBullet"/>
        <w:spacing w:after="60"/>
      </w:pPr>
      <w:r>
        <w:rPr>
          <w:b/>
          <w:i w:val="0"/>
        </w:rPr>
        <w:t>Tailwind</w:t>
      </w:r>
      <w:r>
        <w:rPr>
          <w:b w:val="0"/>
          <w:i w:val="0"/>
        </w:rPr>
        <w:t xml:space="preserve"> — optional and harmless if someone already knows it; not worth learning this week.</w:t>
      </w:r>
    </w:p>
    <w:p>
      <w:pPr>
        <w:pStyle w:val="Heading2"/>
      </w:pPr>
      <w:r>
        <w:rPr>
          <w:b w:val="0"/>
          <w:i w:val="0"/>
        </w:rPr>
        <w:t>4.3  The data contract — freeze this on Day 1</w:t>
      </w:r>
    </w:p>
    <w:p>
      <w:pPr>
        <w:spacing w:after="120"/>
      </w:pPr>
      <w:r>
        <w:rPr>
          <w:b/>
          <w:i w:val="0"/>
        </w:rPr>
        <w:t xml:space="preserve">This is the single highest-leverage decision in the project. </w:t>
      </w:r>
      <w:r>
        <w:rPr>
          <w:b w:val="0"/>
          <w:i w:val="0"/>
        </w:rPr>
        <w:t>It is the interface between the model side and the web side, and freezing it early is what lets both halves be built in parallel by different people. Get it written before anyone trains anything or renders anything.</w:t>
      </w:r>
    </w:p>
    <w:p>
      <w:pPr>
        <w:spacing w:after="100"/>
      </w:pPr>
      <w:r>
        <w:rPr>
          <w:b w:val="0"/>
          <w:i w:val="0"/>
        </w:rPr>
        <w:t>Do not ship weights as JSON — parsing megabytes of float text is slow and bloated. Raw typed-array binaries plus one JSON manifest:</w:t>
      </w:r>
    </w:p>
    <w:p>
      <w:pPr>
        <w:spacing w:before="80" w:after="160"/>
        <w:ind w:left="360"/>
      </w:pPr>
      <w:r>
        <w:rPr>
          <w:rFonts w:ascii="Consolas" w:hAnsi="Consolas"/>
          <w:sz w:val="18"/>
        </w:rPr>
        <w:t>web/public/data/</w:t>
        <w:br/>
      </w:r>
      <w:r>
        <w:rPr>
          <w:rFonts w:ascii="Consolas" w:hAnsi="Consolas"/>
          <w:sz w:val="18"/>
        </w:rPr>
        <w:t xml:space="preserve">  manifest.json          # shapes, dtypes, quantization scales, file map</w:t>
        <w:br/>
      </w:r>
      <w:r>
        <w:rPr>
          <w:rFonts w:ascii="Consolas" w:hAnsi="Consolas"/>
          <w:sz w:val="18"/>
        </w:rPr>
        <w:t xml:space="preserve">  parents/th0.4_s1_A.bin # int8 weights, one file per model</w:t>
        <w:br/>
      </w:r>
      <w:r>
        <w:rPr>
          <w:rFonts w:ascii="Consolas" w:hAnsi="Consolas"/>
          <w:sz w:val="18"/>
        </w:rPr>
        <w:t xml:space="preserve">  parents/th0.4_s1_B.bin</w:t>
        <w:br/>
      </w:r>
      <w:r>
        <w:rPr>
          <w:rFonts w:ascii="Consolas" w:hAnsi="Consolas"/>
          <w:sz w:val="18"/>
        </w:rPr>
        <w:t xml:space="preserve">  sweep.json             # phase diagram points: theta, M, D_A, D_B, seed</w:t>
        <w:br/>
      </w:r>
      <w:r>
        <w:rPr>
          <w:rFonts w:ascii="Consolas" w:hAnsi="Consolas"/>
          <w:sz w:val="18"/>
        </w:rPr>
        <w:t xml:space="preserve">  probes.json            # fixed probe set + oracle targets</w:t>
      </w:r>
    </w:p>
    <w:p>
      <w:pPr>
        <w:spacing w:after="120"/>
      </w:pPr>
      <w:r>
        <w:rPr>
          <w:b w:val="0"/>
          <w:i w:val="0"/>
        </w:rPr>
        <w:t>manifest.json must carry, per tensor: name, shape, dtype, whether it has an n dimension (the merge rule depends on this and the frontend must not re-derive it by guessing), and the quantization scale/zero-point. A pytest check should assert that every tensor the exporter writes is classified, so the classification cannot silently drift from merge.py.</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20"/>
              </w:rPr>
              <w:t>OPEN DECISION — quantization</w:t>
            </w:r>
          </w:p>
          <w:p>
            <w:pPr>
              <w:spacing w:after="40"/>
            </w:pPr>
            <w:r>
              <w:rPr>
                <w:sz w:val="19"/>
              </w:rPr>
              <w:t>int8 keeps the payload near 800KB but adds dequantization to the forward pass and a small accuracy gap against the Python reference. float32 is simpler and exact but roughly 4x larger. Recommendation: start float32 to get the pipeline correct end to end, and quantize only if load time actually becomes a problem. Whichever is chosen, ship a parity test: the same prompt through Python and through JS must agree to a stated tolerance. That test is also a defence exhibit.</w:t>
            </w:r>
          </w:p>
        </w:tc>
      </w:tr>
    </w:tbl>
    <w:p>
      <w:pPr>
        <w:spacing w:after="80"/>
      </w:pPr>
    </w:p>
    <w:p>
      <w:pPr>
        <w:pStyle w:val="Heading2"/>
      </w:pPr>
      <w:r>
        <w:rPr>
          <w:b w:val="0"/>
          <w:i w:val="0"/>
        </w:rPr>
        <w:t>4.4  Deployment and documents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b/>
                <w:color w:val="FFFFFF"/>
                <w:sz w:val="18"/>
              </w:rPr>
              <w:t>Need</w:t>
            </w:r>
          </w:p>
        </w:tc>
        <w:tc>
          <w:tcPr>
            <w:tcW w:type="dxa" w:w="3600"/>
            <w:shd w:val="clear" w:color="auto" w:fill="1F4E79"/>
          </w:tcPr>
          <w:p>
            <w:r/>
            <w:r>
              <w:rPr>
                <w:b/>
                <w:color w:val="FFFFFF"/>
                <w:sz w:val="18"/>
              </w:rPr>
              <w:t>Choice</w:t>
            </w:r>
          </w:p>
        </w:tc>
        <w:tc>
          <w:tcPr>
            <w:tcW w:type="dxa" w:w="3600"/>
            <w:shd w:val="clear" w:color="auto" w:fill="1F4E79"/>
          </w:tcPr>
          <w:p>
            <w:r/>
            <w:r>
              <w:rPr>
                <w:b/>
                <w:color w:val="FFFFFF"/>
                <w:sz w:val="18"/>
              </w:rPr>
              <w:t>Note</w:t>
            </w:r>
          </w:p>
        </w:tc>
      </w:tr>
      <w:tr>
        <w:tc>
          <w:tcPr>
            <w:tcW w:type="dxa" w:w="2448"/>
          </w:tcPr>
          <w:p>
            <w:pPr>
              <w:spacing w:after="40"/>
            </w:pPr>
            <w:r/>
            <w:r>
              <w:rPr>
                <w:b w:val="0"/>
                <w:sz w:val="18"/>
              </w:rPr>
              <w:t>Artifact hosting</w:t>
            </w:r>
          </w:p>
        </w:tc>
        <w:tc>
          <w:tcPr>
            <w:tcW w:type="dxa" w:w="3600"/>
          </w:tcPr>
          <w:p>
            <w:pPr>
              <w:spacing w:after="40"/>
            </w:pPr>
            <w:r/>
            <w:r>
              <w:rPr>
                <w:b w:val="0"/>
                <w:sz w:val="18"/>
              </w:rPr>
              <w:t>GitHub Pages (workflow already in repo, manual dispatch)</w:t>
            </w:r>
          </w:p>
        </w:tc>
        <w:tc>
          <w:tcPr>
            <w:tcW w:type="dxa" w:w="3600"/>
          </w:tcPr>
          <w:p>
            <w:pPr>
              <w:spacing w:after="40"/>
            </w:pPr>
            <w:r/>
            <w:r>
              <w:rPr>
                <w:b w:val="0"/>
                <w:sz w:val="18"/>
              </w:rPr>
              <w:t>Static. Alternative: Vercel, if a custom domain is wanted.</w:t>
            </w:r>
          </w:p>
        </w:tc>
      </w:tr>
      <w:tr>
        <w:tc>
          <w:tcPr>
            <w:tcW w:type="dxa" w:w="2448"/>
            <w:shd w:val="clear" w:color="auto" w:fill="F2F6FA"/>
          </w:tcPr>
          <w:p>
            <w:pPr>
              <w:spacing w:after="40"/>
            </w:pPr>
            <w:r/>
            <w:r>
              <w:rPr>
                <w:b w:val="0"/>
                <w:sz w:val="18"/>
              </w:rPr>
              <w:t>One-page summary</w:t>
            </w:r>
          </w:p>
        </w:tc>
        <w:tc>
          <w:tcPr>
            <w:tcW w:type="dxa" w:w="3600"/>
            <w:shd w:val="clear" w:color="auto" w:fill="F2F6FA"/>
          </w:tcPr>
          <w:p>
            <w:pPr>
              <w:spacing w:after="40"/>
            </w:pPr>
            <w:r/>
            <w:r>
              <w:rPr>
                <w:b w:val="0"/>
                <w:sz w:val="18"/>
              </w:rPr>
              <w:t>Typst or LaTeX → PDF</w:t>
            </w:r>
          </w:p>
        </w:tc>
        <w:tc>
          <w:tcPr>
            <w:tcW w:type="dxa" w:w="3600"/>
            <w:shd w:val="clear" w:color="auto" w:fill="F2F6FA"/>
          </w:tcPr>
          <w:p>
            <w:pPr>
              <w:spacing w:after="40"/>
            </w:pPr>
            <w:r/>
            <w:r>
              <w:rPr>
                <w:b w:val="0"/>
                <w:sz w:val="18"/>
              </w:rPr>
              <w:t>Word → PDF is fine too. Do not spend design time here; it is judged on density, not looks.</w:t>
            </w:r>
          </w:p>
        </w:tc>
      </w:tr>
      <w:tr>
        <w:tc>
          <w:tcPr>
            <w:tcW w:type="dxa" w:w="2448"/>
          </w:tcPr>
          <w:p>
            <w:pPr>
              <w:spacing w:after="40"/>
            </w:pPr>
            <w:r/>
            <w:r>
              <w:rPr>
                <w:b w:val="0"/>
                <w:sz w:val="18"/>
              </w:rPr>
              <w:t>Phase-diagram figure for the PDF</w:t>
            </w:r>
          </w:p>
        </w:tc>
        <w:tc>
          <w:tcPr>
            <w:tcW w:type="dxa" w:w="3600"/>
          </w:tcPr>
          <w:p>
            <w:pPr>
              <w:spacing w:after="40"/>
            </w:pPr>
            <w:r/>
            <w:r>
              <w:rPr>
                <w:b w:val="0"/>
                <w:sz w:val="18"/>
              </w:rPr>
              <w:t>Matplotlib → SVG/PDF</w:t>
            </w:r>
          </w:p>
        </w:tc>
        <w:tc>
          <w:tcPr>
            <w:tcW w:type="dxa" w:w="3600"/>
          </w:tcPr>
          <w:p>
            <w:pPr>
              <w:spacing w:after="40"/>
            </w:pPr>
            <w:r/>
            <w:r>
              <w:rPr>
                <w:b w:val="0"/>
                <w:sz w:val="18"/>
              </w:rPr>
              <w:t>Vector, not a screenshot of the web chart.</w:t>
            </w:r>
          </w:p>
        </w:tc>
      </w:tr>
    </w:tbl>
    <w:p>
      <w:pPr>
        <w:spacing w:after="80"/>
      </w:pPr>
    </w:p>
    <w:p>
      <w:r>
        <w:br w:type="page"/>
      </w:r>
    </w:p>
    <w:p>
      <w:pPr>
        <w:pStyle w:val="Heading1"/>
      </w:pPr>
      <w:r>
        <w:rPr>
          <w:b w:val="0"/>
          <w:i w:val="0"/>
        </w:rPr>
        <w:t>5.  Repository layout</w:t>
      </w:r>
    </w:p>
    <w:p>
      <w:pPr>
        <w:spacing w:after="100"/>
      </w:pPr>
      <w:r>
        <w:rPr>
          <w:b w:val="0"/>
          <w:i w:val="0"/>
        </w:rPr>
        <w:t>Already scaffolded in the repo. Additions this spec implies are marked NEW.</w:t>
      </w:r>
    </w:p>
    <w:p>
      <w:pPr>
        <w:spacing w:before="80" w:after="160"/>
        <w:ind w:left="360"/>
      </w:pPr>
      <w:r>
        <w:rPr>
          <w:rFonts w:ascii="Consolas" w:hAnsi="Consolas"/>
          <w:sz w:val="18"/>
        </w:rPr>
        <w:t>kdag-dataforge/</w:t>
        <w:br/>
      </w:r>
      <w:r>
        <w:rPr>
          <w:rFonts w:ascii="Consolas" w:hAnsi="Consolas"/>
          <w:sz w:val="18"/>
        </w:rPr>
        <w:t xml:space="preserve">  README.md                 # claim, audience, architecture, live-vs-precomputed</w:t>
        <w:br/>
      </w:r>
      <w:r>
        <w:rPr>
          <w:rFonts w:ascii="Consolas" w:hAnsi="Consolas"/>
          <w:sz w:val="18"/>
        </w:rPr>
        <w:t xml:space="preserve">  PROVENANCE.md             # sources, licences, AI disclosure</w:t>
        <w:br/>
      </w:r>
      <w:r>
        <w:rPr>
          <w:rFonts w:ascii="Consolas" w:hAnsi="Consolas"/>
          <w:sz w:val="18"/>
        </w:rPr>
        <w:t xml:space="preserve">  docs/concept-summary.pdf</w:t>
        <w:br/>
      </w:r>
      <w:r>
        <w:rPr>
          <w:rFonts w:ascii="Consolas" w:hAnsi="Consolas"/>
          <w:sz w:val="18"/>
        </w:rPr>
        <w:t xml:space="preserve">  model/</w:t>
        <w:br/>
      </w:r>
      <w:r>
        <w:rPr>
          <w:rFonts w:ascii="Consolas" w:hAnsi="Consolas"/>
          <w:sz w:val="18"/>
        </w:rPr>
        <w:t xml:space="preserve">    src/bdh_surgery/</w:t>
        <w:br/>
      </w:r>
      <w:r>
        <w:rPr>
          <w:rFonts w:ascii="Consolas" w:hAnsi="Consolas"/>
          <w:sz w:val="18"/>
        </w:rPr>
        <w:t xml:space="preserve">      bdh.py                # BDH-GPU forward pass (port of pathwaycom/bdh, MIT)</w:t>
        <w:br/>
      </w:r>
      <w:r>
        <w:rPr>
          <w:rFonts w:ascii="Consolas" w:hAnsi="Consolas"/>
          <w:sz w:val="18"/>
        </w:rPr>
        <w:t xml:space="preserve">      domains.py            # pivot + two targets, overlap knob theta</w:t>
        <w:br/>
      </w:r>
      <w:r>
        <w:rPr>
          <w:rFonts w:ascii="Consolas" w:hAnsi="Consolas"/>
          <w:sz w:val="18"/>
        </w:rPr>
        <w:t xml:space="preserve">      train.py              # single-model training</w:t>
        <w:br/>
      </w:r>
      <w:r>
        <w:rPr>
          <w:rFonts w:ascii="Consolas" w:hAnsi="Consolas"/>
          <w:sz w:val="18"/>
        </w:rPr>
        <w:t xml:space="preserve">      merge.py              # concat rule + average control</w:t>
        <w:br/>
      </w:r>
      <w:r>
        <w:rPr>
          <w:rFonts w:ascii="Consolas" w:hAnsi="Consolas"/>
          <w:sz w:val="18"/>
        </w:rPr>
        <w:t xml:space="preserve">      overlap.py       NEW  # probe, correlate, Hungarian match -&gt; M</w:t>
        <w:br/>
      </w:r>
      <w:r>
        <w:rPr>
          <w:rFonts w:ascii="Consolas" w:hAnsi="Consolas"/>
          <w:sz w:val="18"/>
        </w:rPr>
        <w:t xml:space="preserve">      ablate.py        NEW  # collision-neuron identification + masking</w:t>
        <w:br/>
      </w:r>
      <w:r>
        <w:rPr>
          <w:rFonts w:ascii="Consolas" w:hAnsi="Consolas"/>
          <w:sz w:val="18"/>
        </w:rPr>
        <w:t xml:space="preserve">      sweep.py         NEW  # the 33-pair loop; writes runs.csv</w:t>
        <w:br/>
      </w:r>
      <w:r>
        <w:rPr>
          <w:rFonts w:ascii="Consolas" w:hAnsi="Consolas"/>
          <w:sz w:val="18"/>
        </w:rPr>
        <w:t xml:space="preserve">      export.py             # -&gt; web/public/data/, per the manifest schema</w:t>
        <w:br/>
      </w:r>
      <w:r>
        <w:rPr>
          <w:rFonts w:ascii="Consolas" w:hAnsi="Consolas"/>
          <w:sz w:val="18"/>
        </w:rPr>
        <w:t xml:space="preserve">    tests/</w:t>
        <w:br/>
      </w:r>
      <w:r>
        <w:rPr>
          <w:rFonts w:ascii="Consolas" w:hAnsi="Consolas"/>
          <w:sz w:val="18"/>
        </w:rPr>
        <w:t xml:space="preserve">      test_merge.py         # the paper rule; the defence exhibit</w:t>
        <w:br/>
      </w:r>
      <w:r>
        <w:rPr>
          <w:rFonts w:ascii="Consolas" w:hAnsi="Consolas"/>
          <w:sz w:val="18"/>
        </w:rPr>
        <w:t xml:space="preserve">      test_export.py   NEW  # every tensor classified; JS/Python parity</w:t>
        <w:br/>
      </w:r>
      <w:r>
        <w:rPr>
          <w:rFonts w:ascii="Consolas" w:hAnsi="Consolas"/>
          <w:sz w:val="18"/>
        </w:rPr>
        <w:t xml:space="preserve">  web/</w:t>
        <w:br/>
      </w:r>
      <w:r>
        <w:rPr>
          <w:rFonts w:ascii="Consolas" w:hAnsi="Consolas"/>
          <w:sz w:val="18"/>
        </w:rPr>
        <w:t xml:space="preserve">    src/bdh_forward.js      # four matmuls</w:t>
        <w:br/>
      </w:r>
      <w:r>
        <w:rPr>
          <w:rFonts w:ascii="Consolas" w:hAnsi="Consolas"/>
          <w:sz w:val="18"/>
        </w:rPr>
        <w:t xml:space="preserve">    src/ui/            NEW  # sandbox components</w:t>
        <w:br/>
      </w:r>
      <w:r>
        <w:rPr>
          <w:rFonts w:ascii="Consolas" w:hAnsi="Consolas"/>
          <w:sz w:val="18"/>
        </w:rPr>
        <w:t xml:space="preserve">    public/data/            # committed exported artifacts</w:t>
      </w:r>
    </w:p>
    <w:tbl>
      <w:tblPr>
        <w:tblStyle w:val="TableGrid"/>
        <w:tblW w:type="auto" w:w="0"/>
        <w:tblLook w:firstColumn="1" w:firstRow="1" w:lastColumn="0" w:lastRow="0" w:noHBand="0" w:noVBand="1" w:val="04A0"/>
      </w:tblPr>
      <w:tblGrid>
        <w:gridCol w:w="8640"/>
      </w:tblGrid>
      <w:tr>
        <w:tc>
          <w:tcPr>
            <w:tcW w:type="dxa" w:w="8640"/>
            <w:shd w:val="clear" w:color="auto" w:fill="E8F5E9"/>
          </w:tcPr>
          <w:p>
            <w:r/>
            <w:r>
              <w:rPr>
                <w:b/>
                <w:color w:val="2E7D32"/>
                <w:sz w:val="20"/>
              </w:rPr>
              <w:t>Commit the exported data</w:t>
            </w:r>
          </w:p>
          <w:p>
            <w:pPr>
              <w:spacing w:after="40"/>
            </w:pPr>
            <w:r>
              <w:rPr>
                <w:sz w:val="19"/>
              </w:rPr>
              <w:t>Counterintuitive but right here: it makes the site deploy without running Python in CI, keeps the artifact alive if training breaks the night before submission, and lets a judge clone and run instantly. Link stability and loading behaviour are explicitly graded.</w:t>
            </w:r>
          </w:p>
        </w:tc>
      </w:tr>
    </w:tbl>
    <w:p>
      <w:pPr>
        <w:spacing w:after="80"/>
      </w:pPr>
    </w:p>
    <w:p>
      <w:pPr>
        <w:pStyle w:val="Heading1"/>
      </w:pPr>
      <w:r>
        <w:rPr>
          <w:b w:val="0"/>
          <w:i w:val="0"/>
        </w:rPr>
        <w:t>6.  Seven-day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F4E79"/>
          </w:tcPr>
          <w:p>
            <w:r/>
            <w:r>
              <w:rPr>
                <w:b/>
                <w:color w:val="FFFFFF"/>
                <w:sz w:val="16"/>
              </w:rPr>
            </w:r>
          </w:p>
        </w:tc>
        <w:tc>
          <w:tcPr>
            <w:tcW w:type="dxa" w:w="3024"/>
            <w:shd w:val="clear" w:color="auto" w:fill="1F4E79"/>
          </w:tcPr>
          <w:p>
            <w:r/>
            <w:r>
              <w:rPr>
                <w:b/>
                <w:color w:val="FFFFFF"/>
                <w:sz w:val="16"/>
              </w:rPr>
              <w:t>Koustav — model</w:t>
            </w:r>
          </w:p>
        </w:tc>
        <w:tc>
          <w:tcPr>
            <w:tcW w:type="dxa" w:w="2880"/>
            <w:shd w:val="clear" w:color="auto" w:fill="1F4E79"/>
          </w:tcPr>
          <w:p>
            <w:r/>
            <w:r>
              <w:rPr>
                <w:b/>
                <w:color w:val="FFFFFF"/>
                <w:sz w:val="16"/>
              </w:rPr>
              <w:t>Upayan — web</w:t>
            </w:r>
          </w:p>
        </w:tc>
        <w:tc>
          <w:tcPr>
            <w:tcW w:type="dxa" w:w="3024"/>
            <w:shd w:val="clear" w:color="auto" w:fill="1F4E79"/>
          </w:tcPr>
          <w:p>
            <w:r/>
            <w:r>
              <w:rPr>
                <w:b/>
                <w:color w:val="FFFFFF"/>
                <w:sz w:val="16"/>
              </w:rPr>
              <w:t>Deep / Tanishq — evidence &amp; analysis</w:t>
            </w:r>
          </w:p>
        </w:tc>
      </w:tr>
      <w:tr>
        <w:tc>
          <w:tcPr>
            <w:tcW w:type="dxa" w:w="720"/>
          </w:tcPr>
          <w:p>
            <w:pPr>
              <w:spacing w:after="40"/>
            </w:pPr>
            <w:r/>
            <w:r>
              <w:rPr>
                <w:b/>
                <w:sz w:val="16"/>
              </w:rPr>
              <w:t>Day 1</w:t>
            </w:r>
          </w:p>
        </w:tc>
        <w:tc>
          <w:tcPr>
            <w:tcW w:type="dxa" w:w="3024"/>
          </w:tcPr>
          <w:p>
            <w:pPr>
              <w:spacing w:after="40"/>
            </w:pPr>
            <w:r/>
            <w:r>
              <w:rPr>
                <w:b w:val="0"/>
                <w:sz w:val="16"/>
              </w:rPr>
              <w:t xml:space="preserve">Settle §2.1 OPEN decision. Port bdh.py. </w:t>
            </w:r>
            <w:r>
              <w:rPr>
                <w:b/>
                <w:sz w:val="16"/>
              </w:rPr>
              <w:t>Write the data contract.</w:t>
            </w:r>
          </w:p>
        </w:tc>
        <w:tc>
          <w:tcPr>
            <w:tcW w:type="dxa" w:w="2880"/>
          </w:tcPr>
          <w:p>
            <w:pPr>
              <w:spacing w:after="40"/>
            </w:pPr>
            <w:r/>
            <w:r>
              <w:rPr>
                <w:b w:val="0"/>
                <w:sz w:val="16"/>
              </w:rPr>
              <w:t xml:space="preserve">Vite + framework scaffold. Build against a </w:t>
            </w:r>
            <w:r>
              <w:rPr>
                <w:b/>
                <w:sz w:val="16"/>
              </w:rPr>
              <w:t>hand-written fixture</w:t>
            </w:r>
            <w:r>
              <w:rPr>
                <w:b w:val="0"/>
                <w:sz w:val="16"/>
              </w:rPr>
              <w:t xml:space="preserve"> matching the contract.</w:t>
            </w:r>
          </w:p>
        </w:tc>
        <w:tc>
          <w:tcPr>
            <w:tcW w:type="dxa" w:w="3024"/>
          </w:tcPr>
          <w:p>
            <w:pPr>
              <w:spacing w:after="40"/>
            </w:pPr>
            <w:r/>
            <w:r>
              <w:rPr>
                <w:b w:val="0"/>
                <w:sz w:val="16"/>
              </w:rPr>
              <w:t>Freeze the claim. Probe-set design. Start citation table.</w:t>
            </w:r>
          </w:p>
        </w:tc>
      </w:tr>
      <w:tr>
        <w:tc>
          <w:tcPr>
            <w:tcW w:type="dxa" w:w="720"/>
            <w:shd w:val="clear" w:color="auto" w:fill="F2F6FA"/>
          </w:tcPr>
          <w:p>
            <w:pPr>
              <w:spacing w:after="40"/>
            </w:pPr>
            <w:r/>
            <w:r>
              <w:rPr>
                <w:b/>
                <w:sz w:val="16"/>
              </w:rPr>
              <w:t>Day 2</w:t>
            </w:r>
          </w:p>
        </w:tc>
        <w:tc>
          <w:tcPr>
            <w:tcW w:type="dxa" w:w="3024"/>
            <w:shd w:val="clear" w:color="auto" w:fill="F2F6FA"/>
          </w:tcPr>
          <w:p>
            <w:pPr>
              <w:spacing w:after="40"/>
            </w:pPr>
            <w:r/>
            <w:r>
              <w:rPr>
                <w:b w:val="0"/>
                <w:sz w:val="16"/>
              </w:rPr>
              <w:t>domains.py + theta. Train first parent pair. Verify merge reproduces asymmetry.</w:t>
            </w:r>
          </w:p>
        </w:tc>
        <w:tc>
          <w:tcPr>
            <w:tcW w:type="dxa" w:w="2880"/>
            <w:shd w:val="clear" w:color="auto" w:fill="F2F6FA"/>
          </w:tcPr>
          <w:p>
            <w:pPr>
              <w:spacing w:after="40"/>
            </w:pPr>
            <w:r/>
            <w:r>
              <w:rPr>
                <w:b w:val="0"/>
                <w:sz w:val="16"/>
              </w:rPr>
              <w:t>Forward pass in JS. Parity test against Python.</w:t>
            </w:r>
          </w:p>
        </w:tc>
        <w:tc>
          <w:tcPr>
            <w:tcW w:type="dxa" w:w="3024"/>
            <w:shd w:val="clear" w:color="auto" w:fill="F2F6FA"/>
          </w:tcPr>
          <w:p>
            <w:pPr>
              <w:spacing w:after="40"/>
            </w:pPr>
            <w:r/>
            <w:r>
              <w:rPr>
                <w:b w:val="0"/>
                <w:sz w:val="16"/>
              </w:rPr>
              <w:t>overlap.py: probe → correlate → Hungarian.</w:t>
            </w:r>
          </w:p>
        </w:tc>
      </w:tr>
      <w:tr>
        <w:tc>
          <w:tcPr>
            <w:tcW w:type="dxa" w:w="720"/>
          </w:tcPr>
          <w:p>
            <w:pPr>
              <w:spacing w:after="40"/>
            </w:pPr>
            <w:r/>
            <w:r>
              <w:rPr>
                <w:b/>
                <w:sz w:val="16"/>
              </w:rPr>
              <w:t>Day 3</w:t>
            </w:r>
          </w:p>
        </w:tc>
        <w:tc>
          <w:tcPr>
            <w:tcW w:type="dxa" w:w="3024"/>
          </w:tcPr>
          <w:p>
            <w:pPr>
              <w:spacing w:after="40"/>
            </w:pPr>
            <w:r/>
            <w:r>
              <w:rPr>
                <w:b w:val="0"/>
                <w:sz w:val="16"/>
              </w:rPr>
              <w:t>Launch the 33-pair sweep. Monitor, do not babysit.</w:t>
            </w:r>
          </w:p>
        </w:tc>
        <w:tc>
          <w:tcPr>
            <w:tcW w:type="dxa" w:w="2880"/>
          </w:tcPr>
          <w:p>
            <w:pPr>
              <w:spacing w:after="40"/>
            </w:pPr>
            <w:r/>
            <w:r>
              <w:rPr>
                <w:b w:val="0"/>
                <w:sz w:val="16"/>
              </w:rPr>
              <w:t>Act 1 + Act 2: fuse, and the concat/average toggle.</w:t>
            </w:r>
          </w:p>
        </w:tc>
        <w:tc>
          <w:tcPr>
            <w:tcW w:type="dxa" w:w="3024"/>
          </w:tcPr>
          <w:p>
            <w:pPr>
              <w:spacing w:after="40"/>
            </w:pPr>
            <w:r/>
            <w:r>
              <w:rPr>
                <w:b w:val="0"/>
                <w:sz w:val="16"/>
              </w:rPr>
              <w:t>Phase diagram analysis as runs land. Error bars.</w:t>
            </w:r>
          </w:p>
        </w:tc>
      </w:tr>
      <w:tr>
        <w:tc>
          <w:tcPr>
            <w:tcW w:type="dxa" w:w="720"/>
            <w:shd w:val="clear" w:color="auto" w:fill="F2F6FA"/>
          </w:tcPr>
          <w:p>
            <w:pPr>
              <w:spacing w:after="40"/>
            </w:pPr>
            <w:r/>
            <w:r>
              <w:rPr>
                <w:b/>
                <w:sz w:val="16"/>
              </w:rPr>
              <w:t>Day 4</w:t>
            </w:r>
          </w:p>
        </w:tc>
        <w:tc>
          <w:tcPr>
            <w:tcW w:type="dxa" w:w="3024"/>
            <w:shd w:val="clear" w:color="auto" w:fill="F2F6FA"/>
          </w:tcPr>
          <w:p>
            <w:pPr>
              <w:spacing w:after="40"/>
            </w:pPr>
            <w:r/>
            <w:r>
              <w:rPr>
                <w:b w:val="0"/>
                <w:sz w:val="16"/>
              </w:rPr>
              <w:t>Sweep completes. Controls: self-merge, param-count.</w:t>
            </w:r>
          </w:p>
        </w:tc>
        <w:tc>
          <w:tcPr>
            <w:tcW w:type="dxa" w:w="2880"/>
            <w:shd w:val="clear" w:color="auto" w:fill="F2F6FA"/>
          </w:tcPr>
          <w:p>
            <w:pPr>
              <w:spacing w:after="40"/>
            </w:pPr>
            <w:r/>
            <w:r>
              <w:rPr>
                <w:b w:val="0"/>
                <w:sz w:val="16"/>
              </w:rPr>
              <w:t>Act 3: live phase diagram, theta slider.</w:t>
            </w:r>
          </w:p>
        </w:tc>
        <w:tc>
          <w:tcPr>
            <w:tcW w:type="dxa" w:w="3024"/>
            <w:shd w:val="clear" w:color="auto" w:fill="F2F6FA"/>
          </w:tcPr>
          <w:p>
            <w:pPr>
              <w:spacing w:after="40"/>
            </w:pPr>
            <w:r/>
            <w:r>
              <w:rPr>
                <w:b w:val="0"/>
                <w:sz w:val="16"/>
              </w:rPr>
              <w:t>Draft one-page summary against real numbers.</w:t>
            </w:r>
          </w:p>
        </w:tc>
      </w:tr>
      <w:tr>
        <w:tc>
          <w:tcPr>
            <w:tcW w:type="dxa" w:w="720"/>
          </w:tcPr>
          <w:p>
            <w:pPr>
              <w:spacing w:after="40"/>
            </w:pPr>
            <w:r/>
            <w:r>
              <w:rPr>
                <w:b/>
                <w:sz w:val="16"/>
              </w:rPr>
              <w:t>Day 5</w:t>
            </w:r>
          </w:p>
        </w:tc>
        <w:tc>
          <w:tcPr>
            <w:tcW w:type="dxa" w:w="3024"/>
          </w:tcPr>
          <w:p>
            <w:pPr>
              <w:spacing w:after="40"/>
            </w:pPr>
            <w:r/>
            <w:r>
              <w:rPr>
                <w:b w:val="0"/>
                <w:sz w:val="16"/>
              </w:rPr>
              <w:t>ablate.py: collision neurons + random baseline.</w:t>
            </w:r>
          </w:p>
        </w:tc>
        <w:tc>
          <w:tcPr>
            <w:tcW w:type="dxa" w:w="2880"/>
          </w:tcPr>
          <w:p>
            <w:pPr>
              <w:spacing w:after="40"/>
            </w:pPr>
            <w:r/>
            <w:r>
              <w:rPr>
                <w:b w:val="0"/>
                <w:sz w:val="16"/>
              </w:rPr>
              <w:t>Act 4: ablation UI, neuron heatmap.</w:t>
            </w:r>
          </w:p>
        </w:tc>
        <w:tc>
          <w:tcPr>
            <w:tcW w:type="dxa" w:w="3024"/>
          </w:tcPr>
          <w:p>
            <w:pPr>
              <w:spacing w:after="40"/>
            </w:pPr>
            <w:r/>
            <w:r>
              <w:rPr>
                <w:b w:val="0"/>
                <w:sz w:val="16"/>
              </w:rPr>
              <w:t>Recovery-curve analysis. Write the limitations section.</w:t>
            </w:r>
          </w:p>
        </w:tc>
      </w:tr>
      <w:tr>
        <w:tc>
          <w:tcPr>
            <w:tcW w:type="dxa" w:w="720"/>
            <w:shd w:val="clear" w:color="auto" w:fill="F2F6FA"/>
          </w:tcPr>
          <w:p>
            <w:pPr>
              <w:spacing w:after="40"/>
            </w:pPr>
            <w:r/>
            <w:r>
              <w:rPr>
                <w:b/>
                <w:sz w:val="16"/>
              </w:rPr>
              <w:t>Day 6</w:t>
            </w:r>
          </w:p>
        </w:tc>
        <w:tc>
          <w:tcPr>
            <w:tcW w:type="dxa" w:w="3024"/>
            <w:shd w:val="clear" w:color="auto" w:fill="F2F6FA"/>
          </w:tcPr>
          <w:p>
            <w:pPr>
              <w:spacing w:after="40"/>
            </w:pPr>
            <w:r/>
            <w:r>
              <w:rPr>
                <w:b w:val="0"/>
                <w:sz w:val="16"/>
              </w:rPr>
              <w:t>Final export. Reproduction script, seeds pinned.</w:t>
            </w:r>
          </w:p>
        </w:tc>
        <w:tc>
          <w:tcPr>
            <w:tcW w:type="dxa" w:w="2880"/>
            <w:shd w:val="clear" w:color="auto" w:fill="F2F6FA"/>
          </w:tcPr>
          <w:p>
            <w:pPr>
              <w:spacing w:after="40"/>
            </w:pPr>
            <w:r/>
            <w:r>
              <w:rPr>
                <w:b w:val="0"/>
                <w:sz w:val="16"/>
              </w:rPr>
              <w:t>Guided narrative, preset-on-open, mobile.</w:t>
            </w:r>
          </w:p>
        </w:tc>
        <w:tc>
          <w:tcPr>
            <w:tcW w:type="dxa" w:w="3024"/>
            <w:shd w:val="clear" w:color="auto" w:fill="F2F6FA"/>
          </w:tcPr>
          <w:p>
            <w:pPr>
              <w:spacing w:after="40"/>
            </w:pPr>
            <w:r/>
            <w:r>
              <w:rPr>
                <w:b w:val="0"/>
                <w:sz w:val="16"/>
              </w:rPr>
              <w:t>README: live/precomputed/illustration table. PROVENANCE.</w:t>
            </w:r>
          </w:p>
        </w:tc>
      </w:tr>
      <w:tr>
        <w:tc>
          <w:tcPr>
            <w:tcW w:type="dxa" w:w="720"/>
          </w:tcPr>
          <w:p>
            <w:pPr>
              <w:spacing w:after="40"/>
            </w:pPr>
            <w:r/>
            <w:r>
              <w:rPr>
                <w:b/>
                <w:sz w:val="16"/>
              </w:rPr>
              <w:t>Day 7</w:t>
            </w:r>
          </w:p>
        </w:tc>
        <w:tc>
          <w:tcPr>
            <w:tcW w:type="dxa" w:w="3024"/>
          </w:tcPr>
          <w:p>
            <w:pPr>
              <w:spacing w:after="40"/>
            </w:pPr>
            <w:r/>
            <w:r>
              <w:rPr>
                <w:b/>
                <w:sz w:val="16"/>
              </w:rPr>
              <w:t>Freeze.</w:t>
            </w:r>
            <w:r>
              <w:rPr>
                <w:b w:val="0"/>
                <w:sz w:val="16"/>
              </w:rPr>
              <w:t xml:space="preserve"> Defence drill: each member must predict the outcome of any control change, cold.</w:t>
            </w:r>
          </w:p>
        </w:tc>
        <w:tc>
          <w:tcPr>
            <w:tcW w:type="dxa" w:w="2880"/>
          </w:tcPr>
          <w:p>
            <w:pPr>
              <w:spacing w:after="40"/>
            </w:pPr>
            <w:r/>
            <w:r>
              <w:rPr>
                <w:b w:val="0"/>
                <w:sz w:val="16"/>
              </w:rPr>
              <w:t>Load behaviour, link check, accessibility pass.</w:t>
            </w:r>
          </w:p>
        </w:tc>
        <w:tc>
          <w:tcPr>
            <w:tcW w:type="dxa" w:w="3024"/>
          </w:tcPr>
          <w:p>
            <w:pPr>
              <w:spacing w:after="40"/>
            </w:pPr>
            <w:r/>
            <w:r>
              <w:rPr>
                <w:b w:val="0"/>
                <w:sz w:val="16"/>
              </w:rPr>
              <w:t>Summary → PDF. Final citation verification.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20"/>
              </w:rPr>
              <w:t>The Day 1 dependency that decides the week</w:t>
            </w:r>
          </w:p>
          <w:p>
            <w:pPr>
              <w:spacing w:after="40"/>
            </w:pPr>
            <w:r>
              <w:rPr>
                <w:sz w:val="19"/>
              </w:rPr>
              <w:t>Upayan must not wait on trained models. The moment the data contract is written, a hand-authored fixture file unblocks the entire frontend. If this does not happen on Day 1, the frontend blocks on training and the week is lost.</w:t>
            </w:r>
          </w:p>
        </w:tc>
      </w:tr>
    </w:tbl>
    <w:p>
      <w:pPr>
        <w:spacing w:after="80"/>
      </w:pPr>
    </w:p>
    <w:p>
      <w:pPr>
        <w:pStyle w:val="Heading1"/>
      </w:pPr>
      <w:r>
        <w:rPr>
          <w:b w:val="0"/>
          <w:i w:val="0"/>
        </w:rPr>
        <w:t>7.  Risks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4E79"/>
          </w:tcPr>
          <w:p>
            <w:r/>
            <w:r>
              <w:rPr>
                <w:b/>
                <w:color w:val="FFFFFF"/>
                <w:sz w:val="18"/>
              </w:rPr>
              <w:t>Risk</w:t>
            </w:r>
          </w:p>
        </w:tc>
        <w:tc>
          <w:tcPr>
            <w:tcW w:type="dxa" w:w="1440"/>
            <w:shd w:val="clear" w:color="auto" w:fill="1F4E79"/>
          </w:tcPr>
          <w:p>
            <w:r/>
            <w:r>
              <w:rPr>
                <w:b/>
                <w:color w:val="FFFFFF"/>
                <w:sz w:val="18"/>
              </w:rPr>
              <w:t>Likelihood</w:t>
            </w:r>
          </w:p>
        </w:tc>
        <w:tc>
          <w:tcPr>
            <w:tcW w:type="dxa" w:w="4608"/>
            <w:shd w:val="clear" w:color="auto" w:fill="1F4E79"/>
          </w:tcPr>
          <w:p>
            <w:r/>
            <w:r>
              <w:rPr>
                <w:b/>
                <w:color w:val="FFFFFF"/>
                <w:sz w:val="18"/>
              </w:rPr>
              <w:t>Mitigation</w:t>
            </w:r>
          </w:p>
        </w:tc>
      </w:tr>
      <w:tr>
        <w:tc>
          <w:tcPr>
            <w:tcW w:type="dxa" w:w="3600"/>
          </w:tcPr>
          <w:p>
            <w:pPr>
              <w:spacing w:after="40"/>
            </w:pPr>
            <w:r/>
            <w:r>
              <w:rPr>
                <w:b w:val="0"/>
                <w:sz w:val="18"/>
              </w:rPr>
              <w:t>Sweep produces a noisy or uninterpretable curve.</w:t>
            </w:r>
          </w:p>
        </w:tc>
        <w:tc>
          <w:tcPr>
            <w:tcW w:type="dxa" w:w="1440"/>
          </w:tcPr>
          <w:p>
            <w:pPr>
              <w:spacing w:after="40"/>
            </w:pPr>
            <w:r/>
            <w:r>
              <w:rPr>
                <w:b w:val="0"/>
                <w:sz w:val="18"/>
              </w:rPr>
              <w:t>Medium</w:t>
            </w:r>
          </w:p>
        </w:tc>
        <w:tc>
          <w:tcPr>
            <w:tcW w:type="dxa" w:w="4608"/>
          </w:tcPr>
          <w:p>
            <w:pPr>
              <w:spacing w:after="40"/>
            </w:pPr>
            <w:r/>
            <w:r>
              <w:rPr>
                <w:b w:val="0"/>
                <w:sz w:val="18"/>
              </w:rPr>
              <w:t>Three seeds and error bars from the start. If noisy at n=2048, raise n rather than adding seeds — capacity is the more likely cause.</w:t>
            </w:r>
          </w:p>
        </w:tc>
      </w:tr>
      <w:tr>
        <w:tc>
          <w:tcPr>
            <w:tcW w:type="dxa" w:w="3600"/>
            <w:shd w:val="clear" w:color="auto" w:fill="F2F6FA"/>
          </w:tcPr>
          <w:p>
            <w:pPr>
              <w:spacing w:after="40"/>
            </w:pPr>
            <w:r/>
            <w:r>
              <w:rPr>
                <w:b w:val="0"/>
                <w:sz w:val="18"/>
              </w:rPr>
              <w:t>Toy scale does not reproduce the paper’s asymmetry.</w:t>
            </w:r>
          </w:p>
        </w:tc>
        <w:tc>
          <w:tcPr>
            <w:tcW w:type="dxa" w:w="1440"/>
            <w:shd w:val="clear" w:color="auto" w:fill="F2F6FA"/>
          </w:tcPr>
          <w:p>
            <w:pPr>
              <w:spacing w:after="40"/>
            </w:pPr>
            <w:r/>
            <w:r>
              <w:rPr>
                <w:b w:val="0"/>
                <w:sz w:val="18"/>
              </w:rPr>
              <w:t>Medium</w:t>
            </w:r>
          </w:p>
        </w:tc>
        <w:tc>
          <w:tcPr>
            <w:tcW w:type="dxa" w:w="4608"/>
            <w:shd w:val="clear" w:color="auto" w:fill="F2F6FA"/>
          </w:tcPr>
          <w:p>
            <w:pPr>
              <w:spacing w:after="40"/>
            </w:pPr>
            <w:r/>
            <w:r>
              <w:rPr>
                <w:b w:val="0"/>
                <w:sz w:val="18"/>
              </w:rPr>
              <w:t>Report it as a difference between reimplementation and published system. This is an honest finding, not a failure — but it must be stated, not buried.</w:t>
            </w:r>
          </w:p>
        </w:tc>
      </w:tr>
      <w:tr>
        <w:tc>
          <w:tcPr>
            <w:tcW w:type="dxa" w:w="3600"/>
          </w:tcPr>
          <w:p>
            <w:pPr>
              <w:spacing w:after="40"/>
            </w:pPr>
            <w:r/>
            <w:r>
              <w:rPr>
                <w:b w:val="0"/>
                <w:sz w:val="18"/>
              </w:rPr>
              <w:t>Localization finds nothing distinguishable from random ablation.</w:t>
            </w:r>
          </w:p>
        </w:tc>
        <w:tc>
          <w:tcPr>
            <w:tcW w:type="dxa" w:w="1440"/>
          </w:tcPr>
          <w:p>
            <w:pPr>
              <w:spacing w:after="40"/>
            </w:pPr>
            <w:r/>
            <w:r>
              <w:rPr>
                <w:b w:val="0"/>
                <w:sz w:val="18"/>
              </w:rPr>
              <w:t>Medium</w:t>
            </w:r>
          </w:p>
        </w:tc>
        <w:tc>
          <w:tcPr>
            <w:tcW w:type="dxa" w:w="4608"/>
          </w:tcPr>
          <w:p>
            <w:pPr>
              <w:spacing w:after="40"/>
            </w:pPr>
            <w:r/>
            <w:r>
              <w:rPr>
                <w:b w:val="0"/>
                <w:sz w:val="18"/>
              </w:rPr>
              <w:t>The random baseline is what makes this reportable either way. A negative locality result is still a result, and the phase diagram stands alone.</w:t>
            </w:r>
          </w:p>
        </w:tc>
      </w:tr>
      <w:tr>
        <w:tc>
          <w:tcPr>
            <w:tcW w:type="dxa" w:w="3600"/>
            <w:shd w:val="clear" w:color="auto" w:fill="F2F6FA"/>
          </w:tcPr>
          <w:p>
            <w:pPr>
              <w:spacing w:after="40"/>
            </w:pPr>
            <w:r/>
            <w:r>
              <w:rPr>
                <w:b w:val="0"/>
                <w:sz w:val="18"/>
              </w:rPr>
              <w:t>Frontend blocks on training.</w:t>
            </w:r>
          </w:p>
        </w:tc>
        <w:tc>
          <w:tcPr>
            <w:tcW w:type="dxa" w:w="1440"/>
            <w:shd w:val="clear" w:color="auto" w:fill="F2F6FA"/>
          </w:tcPr>
          <w:p>
            <w:pPr>
              <w:spacing w:after="40"/>
            </w:pPr>
            <w:r/>
            <w:r>
              <w:rPr>
                <w:b w:val="0"/>
                <w:sz w:val="18"/>
              </w:rPr>
              <w:t>High if Day 1 slips</w:t>
            </w:r>
          </w:p>
        </w:tc>
        <w:tc>
          <w:tcPr>
            <w:tcW w:type="dxa" w:w="4608"/>
            <w:shd w:val="clear" w:color="auto" w:fill="F2F6FA"/>
          </w:tcPr>
          <w:p>
            <w:pPr>
              <w:spacing w:after="40"/>
            </w:pPr>
            <w:r/>
            <w:r>
              <w:rPr>
                <w:b w:val="0"/>
                <w:sz w:val="18"/>
              </w:rPr>
              <w:t>The fixture-file discipline above. This is the top schedule risk in the project.</w:t>
            </w:r>
          </w:p>
        </w:tc>
      </w:tr>
      <w:tr>
        <w:tc>
          <w:tcPr>
            <w:tcW w:type="dxa" w:w="3600"/>
          </w:tcPr>
          <w:p>
            <w:pPr>
              <w:spacing w:after="40"/>
            </w:pPr>
            <w:r/>
            <w:r>
              <w:rPr>
                <w:b w:val="0"/>
                <w:sz w:val="18"/>
              </w:rPr>
              <w:t>Scope creep into a second claim.</w:t>
            </w:r>
          </w:p>
        </w:tc>
        <w:tc>
          <w:tcPr>
            <w:tcW w:type="dxa" w:w="1440"/>
          </w:tcPr>
          <w:p>
            <w:pPr>
              <w:spacing w:after="40"/>
            </w:pPr>
            <w:r/>
            <w:r>
              <w:rPr>
                <w:b w:val="0"/>
                <w:sz w:val="18"/>
              </w:rPr>
              <w:t>High</w:t>
            </w:r>
          </w:p>
        </w:tc>
        <w:tc>
          <w:tcPr>
            <w:tcW w:type="dxa" w:w="4608"/>
          </w:tcPr>
          <w:p>
            <w:pPr>
              <w:spacing w:after="40"/>
            </w:pPr>
            <w:r/>
            <w:r>
              <w:rPr>
                <w:b w:val="0"/>
                <w:sz w:val="18"/>
              </w:rPr>
              <w:t>One claim. If something does not serve the phase diagram or the repair, it is cut. The PS penalises dashboards with many views and no central lesson.</w:t>
            </w:r>
          </w:p>
        </w:tc>
      </w:tr>
      <w:tr>
        <w:tc>
          <w:tcPr>
            <w:tcW w:type="dxa" w:w="3600"/>
            <w:shd w:val="clear" w:color="auto" w:fill="F2F6FA"/>
          </w:tcPr>
          <w:p>
            <w:pPr>
              <w:spacing w:after="40"/>
            </w:pPr>
            <w:r/>
            <w:r>
              <w:rPr>
                <w:b w:val="0"/>
                <w:sz w:val="18"/>
              </w:rPr>
              <w:t>Browser performance at merged n = 4096.</w:t>
            </w:r>
          </w:p>
        </w:tc>
        <w:tc>
          <w:tcPr>
            <w:tcW w:type="dxa" w:w="1440"/>
            <w:shd w:val="clear" w:color="auto" w:fill="F2F6FA"/>
          </w:tcPr>
          <w:p>
            <w:pPr>
              <w:spacing w:after="40"/>
            </w:pPr>
            <w:r/>
            <w:r>
              <w:rPr>
                <w:b w:val="0"/>
                <w:sz w:val="18"/>
              </w:rPr>
              <w:t>Low</w:t>
            </w:r>
          </w:p>
        </w:tc>
        <w:tc>
          <w:tcPr>
            <w:tcW w:type="dxa" w:w="4608"/>
            <w:shd w:val="clear" w:color="auto" w:fill="F2F6FA"/>
          </w:tcPr>
          <w:p>
            <w:pPr>
              <w:spacing w:after="40"/>
            </w:pPr>
            <w:r/>
            <w:r>
              <w:rPr>
                <w:b w:val="0"/>
                <w:sz w:val="18"/>
              </w:rPr>
              <w:t>Profile on Day 2, not Day 6. Cap sequence length and state the cap.</w:t>
            </w:r>
          </w:p>
        </w:tc>
      </w:tr>
    </w:tbl>
    <w:p>
      <w:pPr>
        <w:spacing w:after="80"/>
      </w:pPr>
    </w:p>
    <w:p>
      <w:pPr>
        <w:pStyle w:val="Heading1"/>
      </w:pPr>
      <w:r>
        <w:rPr>
          <w:b w:val="0"/>
          <w:i w:val="0"/>
        </w:rPr>
        <w:t>8.  Open decisions</w:t>
      </w:r>
    </w:p>
    <w:p>
      <w:pPr>
        <w:spacing w:after="100"/>
      </w:pPr>
      <w:r>
        <w:rPr>
          <w:b w:val="0"/>
          <w:i w:val="0"/>
        </w:rPr>
        <w:t>Settle each before the dependent work begins.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1F4E79"/>
          </w:tcPr>
          <w:p>
            <w:r/>
            <w:r>
              <w:rPr>
                <w:b/>
                <w:color w:val="FFFFFF"/>
                <w:sz w:val="18"/>
              </w:rPr>
              <w:t>#</w:t>
            </w:r>
          </w:p>
        </w:tc>
        <w:tc>
          <w:tcPr>
            <w:tcW w:type="dxa" w:w="4896"/>
            <w:shd w:val="clear" w:color="auto" w:fill="1F4E79"/>
          </w:tcPr>
          <w:p>
            <w:r/>
            <w:r>
              <w:rPr>
                <w:b/>
                <w:color w:val="FFFFFF"/>
                <w:sz w:val="18"/>
              </w:rPr>
              <w:t>Decision</w:t>
            </w:r>
          </w:p>
        </w:tc>
        <w:tc>
          <w:tcPr>
            <w:tcW w:type="dxa" w:w="2160"/>
            <w:shd w:val="clear" w:color="auto" w:fill="1F4E79"/>
          </w:tcPr>
          <w:p>
            <w:r/>
            <w:r>
              <w:rPr>
                <w:b/>
                <w:color w:val="FFFFFF"/>
                <w:sz w:val="18"/>
              </w:rPr>
              <w:t>Owner</w:t>
            </w:r>
          </w:p>
        </w:tc>
        <w:tc>
          <w:tcPr>
            <w:tcW w:type="dxa" w:w="2160"/>
            <w:shd w:val="clear" w:color="auto" w:fill="1F4E79"/>
          </w:tcPr>
          <w:p>
            <w:r/>
            <w:r>
              <w:rPr>
                <w:b/>
                <w:color w:val="FFFFFF"/>
                <w:sz w:val="18"/>
              </w:rPr>
              <w:t>Deadline</w:t>
            </w:r>
          </w:p>
        </w:tc>
      </w:tr>
      <w:tr>
        <w:tc>
          <w:tcPr>
            <w:tcW w:type="dxa" w:w="432"/>
          </w:tcPr>
          <w:p>
            <w:pPr>
              <w:spacing w:after="40"/>
            </w:pPr>
            <w:r/>
            <w:r>
              <w:rPr>
                <w:b w:val="0"/>
                <w:sz w:val="18"/>
              </w:rPr>
              <w:t>1</w:t>
            </w:r>
          </w:p>
        </w:tc>
        <w:tc>
          <w:tcPr>
            <w:tcW w:type="dxa" w:w="4896"/>
          </w:tcPr>
          <w:p>
            <w:pPr>
              <w:spacing w:after="40"/>
            </w:pPr>
            <w:r/>
            <w:r>
              <w:rPr>
                <w:b w:val="0"/>
                <w:sz w:val="18"/>
              </w:rPr>
              <w:t>What θ varies: surface-form overlap (recommended) or concept-space overlap. §2.1</w:t>
            </w:r>
          </w:p>
        </w:tc>
        <w:tc>
          <w:tcPr>
            <w:tcW w:type="dxa" w:w="2160"/>
          </w:tcPr>
          <w:p>
            <w:pPr>
              <w:spacing w:after="40"/>
            </w:pPr>
            <w:r/>
            <w:r>
              <w:rPr>
                <w:b w:val="0"/>
                <w:sz w:val="18"/>
              </w:rPr>
              <w:t>Koustav</w:t>
            </w:r>
          </w:p>
        </w:tc>
        <w:tc>
          <w:tcPr>
            <w:tcW w:type="dxa" w:w="2160"/>
          </w:tcPr>
          <w:p>
            <w:pPr>
              <w:spacing w:after="40"/>
            </w:pPr>
            <w:r/>
            <w:r>
              <w:rPr>
                <w:b w:val="0"/>
                <w:sz w:val="18"/>
              </w:rPr>
              <w:t>Day 1 morning</w:t>
            </w:r>
          </w:p>
        </w:tc>
      </w:tr>
      <w:tr>
        <w:tc>
          <w:tcPr>
            <w:tcW w:type="dxa" w:w="432"/>
            <w:shd w:val="clear" w:color="auto" w:fill="F2F6FA"/>
          </w:tcPr>
          <w:p>
            <w:pPr>
              <w:spacing w:after="40"/>
            </w:pPr>
            <w:r/>
            <w:r>
              <w:rPr>
                <w:b w:val="0"/>
                <w:sz w:val="18"/>
              </w:rPr>
              <w:t>2</w:t>
            </w:r>
          </w:p>
        </w:tc>
        <w:tc>
          <w:tcPr>
            <w:tcW w:type="dxa" w:w="4896"/>
            <w:shd w:val="clear" w:color="auto" w:fill="F2F6FA"/>
          </w:tcPr>
          <w:p>
            <w:pPr>
              <w:spacing w:after="40"/>
            </w:pPr>
            <w:r/>
            <w:r>
              <w:rPr>
                <w:b w:val="0"/>
                <w:sz w:val="18"/>
              </w:rPr>
              <w:t>The data contract: tensor manifest schema and file layout. §4.3</w:t>
            </w:r>
          </w:p>
        </w:tc>
        <w:tc>
          <w:tcPr>
            <w:tcW w:type="dxa" w:w="2160"/>
            <w:shd w:val="clear" w:color="auto" w:fill="F2F6FA"/>
          </w:tcPr>
          <w:p>
            <w:pPr>
              <w:spacing w:after="40"/>
            </w:pPr>
            <w:r/>
            <w:r>
              <w:rPr>
                <w:b w:val="0"/>
                <w:sz w:val="18"/>
              </w:rPr>
              <w:t>Koustav + Upayan</w:t>
            </w:r>
          </w:p>
        </w:tc>
        <w:tc>
          <w:tcPr>
            <w:tcW w:type="dxa" w:w="2160"/>
            <w:shd w:val="clear" w:color="auto" w:fill="F2F6FA"/>
          </w:tcPr>
          <w:p>
            <w:pPr>
              <w:spacing w:after="40"/>
            </w:pPr>
            <w:r/>
            <w:r>
              <w:rPr>
                <w:b w:val="0"/>
                <w:sz w:val="18"/>
              </w:rPr>
              <w:t>Day 1, before any other work</w:t>
            </w:r>
          </w:p>
        </w:tc>
      </w:tr>
      <w:tr>
        <w:tc>
          <w:tcPr>
            <w:tcW w:type="dxa" w:w="432"/>
          </w:tcPr>
          <w:p>
            <w:pPr>
              <w:spacing w:after="40"/>
            </w:pPr>
            <w:r/>
            <w:r>
              <w:rPr>
                <w:b w:val="0"/>
                <w:sz w:val="18"/>
              </w:rPr>
              <w:t>3</w:t>
            </w:r>
          </w:p>
        </w:tc>
        <w:tc>
          <w:tcPr>
            <w:tcW w:type="dxa" w:w="4896"/>
          </w:tcPr>
          <w:p>
            <w:pPr>
              <w:spacing w:after="40"/>
            </w:pPr>
            <w:r/>
            <w:r>
              <w:rPr>
                <w:b w:val="0"/>
                <w:sz w:val="18"/>
              </w:rPr>
              <w:t>Frontend framework: Svelte vs React. §4.2</w:t>
            </w:r>
          </w:p>
        </w:tc>
        <w:tc>
          <w:tcPr>
            <w:tcW w:type="dxa" w:w="2160"/>
          </w:tcPr>
          <w:p>
            <w:pPr>
              <w:spacing w:after="40"/>
            </w:pPr>
            <w:r/>
            <w:r>
              <w:rPr>
                <w:b w:val="0"/>
                <w:sz w:val="18"/>
              </w:rPr>
              <w:t>Upayan</w:t>
            </w:r>
          </w:p>
        </w:tc>
        <w:tc>
          <w:tcPr>
            <w:tcW w:type="dxa" w:w="2160"/>
          </w:tcPr>
          <w:p>
            <w:pPr>
              <w:spacing w:after="40"/>
            </w:pPr>
            <w:r/>
            <w:r>
              <w:rPr>
                <w:b w:val="0"/>
                <w:sz w:val="18"/>
              </w:rPr>
              <w:t>Day 1</w:t>
            </w:r>
          </w:p>
        </w:tc>
      </w:tr>
      <w:tr>
        <w:tc>
          <w:tcPr>
            <w:tcW w:type="dxa" w:w="432"/>
            <w:shd w:val="clear" w:color="auto" w:fill="F2F6FA"/>
          </w:tcPr>
          <w:p>
            <w:pPr>
              <w:spacing w:after="40"/>
            </w:pPr>
            <w:r/>
            <w:r>
              <w:rPr>
                <w:b w:val="0"/>
                <w:sz w:val="18"/>
              </w:rPr>
              <w:t>4</w:t>
            </w:r>
          </w:p>
        </w:tc>
        <w:tc>
          <w:tcPr>
            <w:tcW w:type="dxa" w:w="4896"/>
            <w:shd w:val="clear" w:color="auto" w:fill="F2F6FA"/>
          </w:tcPr>
          <w:p>
            <w:pPr>
              <w:spacing w:after="40"/>
            </w:pPr>
            <w:r/>
            <w:r>
              <w:rPr>
                <w:b w:val="0"/>
                <w:sz w:val="18"/>
              </w:rPr>
              <w:t>Quantization: float32 first, int8 only if needed. §4.3</w:t>
            </w:r>
          </w:p>
        </w:tc>
        <w:tc>
          <w:tcPr>
            <w:tcW w:type="dxa" w:w="2160"/>
            <w:shd w:val="clear" w:color="auto" w:fill="F2F6FA"/>
          </w:tcPr>
          <w:p>
            <w:pPr>
              <w:spacing w:after="40"/>
            </w:pPr>
            <w:r/>
            <w:r>
              <w:rPr>
                <w:b w:val="0"/>
                <w:sz w:val="18"/>
              </w:rPr>
              <w:t>Upayan</w:t>
            </w:r>
          </w:p>
        </w:tc>
        <w:tc>
          <w:tcPr>
            <w:tcW w:type="dxa" w:w="2160"/>
            <w:shd w:val="clear" w:color="auto" w:fill="F2F6FA"/>
          </w:tcPr>
          <w:p>
            <w:pPr>
              <w:spacing w:after="40"/>
            </w:pPr>
            <w:r/>
            <w:r>
              <w:rPr>
                <w:b w:val="0"/>
                <w:sz w:val="18"/>
              </w:rPr>
              <w:t>Day 2</w:t>
            </w:r>
          </w:p>
        </w:tc>
      </w:tr>
      <w:tr>
        <w:tc>
          <w:tcPr>
            <w:tcW w:type="dxa" w:w="432"/>
          </w:tcPr>
          <w:p>
            <w:pPr>
              <w:spacing w:after="40"/>
            </w:pPr>
            <w:r/>
            <w:r>
              <w:rPr>
                <w:b w:val="0"/>
                <w:sz w:val="18"/>
              </w:rPr>
              <w:t>5</w:t>
            </w:r>
          </w:p>
        </w:tc>
        <w:tc>
          <w:tcPr>
            <w:tcW w:type="dxa" w:w="4896"/>
          </w:tcPr>
          <w:p>
            <w:pPr>
              <w:spacing w:after="40"/>
            </w:pPr>
            <w:r/>
            <w:r>
              <w:rPr>
                <w:b w:val="0"/>
                <w:sz w:val="18"/>
              </w:rPr>
              <w:t>Overlap threshold τ, or thresholdless fallback. §2.3</w:t>
            </w:r>
          </w:p>
        </w:tc>
        <w:tc>
          <w:tcPr>
            <w:tcW w:type="dxa" w:w="2160"/>
          </w:tcPr>
          <w:p>
            <w:pPr>
              <w:spacing w:after="40"/>
            </w:pPr>
            <w:r/>
            <w:r>
              <w:rPr>
                <w:b w:val="0"/>
                <w:sz w:val="18"/>
              </w:rPr>
              <w:t>Deep / Tanishq</w:t>
            </w:r>
          </w:p>
        </w:tc>
        <w:tc>
          <w:tcPr>
            <w:tcW w:type="dxa" w:w="2160"/>
          </w:tcPr>
          <w:p>
            <w:pPr>
              <w:spacing w:after="40"/>
            </w:pPr>
            <w:r/>
            <w:r>
              <w:rPr>
                <w:b w:val="0"/>
                <w:sz w:val="18"/>
              </w:rPr>
              <w:t>Day 2</w:t>
            </w:r>
          </w:p>
        </w:tc>
      </w:tr>
      <w:tr>
        <w:tc>
          <w:tcPr>
            <w:tcW w:type="dxa" w:w="432"/>
            <w:shd w:val="clear" w:color="auto" w:fill="F2F6FA"/>
          </w:tcPr>
          <w:p>
            <w:pPr>
              <w:spacing w:after="40"/>
            </w:pPr>
            <w:r/>
            <w:r>
              <w:rPr>
                <w:b w:val="0"/>
                <w:sz w:val="18"/>
              </w:rPr>
              <w:t>6</w:t>
            </w:r>
          </w:p>
        </w:tc>
        <w:tc>
          <w:tcPr>
            <w:tcW w:type="dxa" w:w="4896"/>
            <w:shd w:val="clear" w:color="auto" w:fill="F2F6FA"/>
          </w:tcPr>
          <w:p>
            <w:pPr>
              <w:spacing w:after="40"/>
            </w:pPr>
            <w:r/>
            <w:r>
              <w:rPr>
                <w:b w:val="0"/>
                <w:sz w:val="18"/>
              </w:rPr>
              <w:t>Whether to keep the parameter-count control if time is short. §2.6</w:t>
            </w:r>
          </w:p>
        </w:tc>
        <w:tc>
          <w:tcPr>
            <w:tcW w:type="dxa" w:w="2160"/>
            <w:shd w:val="clear" w:color="auto" w:fill="F2F6FA"/>
          </w:tcPr>
          <w:p>
            <w:pPr>
              <w:spacing w:after="40"/>
            </w:pPr>
            <w:r/>
            <w:r>
              <w:rPr>
                <w:b w:val="0"/>
                <w:sz w:val="18"/>
              </w:rPr>
              <w:t>Team</w:t>
            </w:r>
          </w:p>
        </w:tc>
        <w:tc>
          <w:tcPr>
            <w:tcW w:type="dxa" w:w="2160"/>
            <w:shd w:val="clear" w:color="auto" w:fill="F2F6FA"/>
          </w:tcPr>
          <w:p>
            <w:pPr>
              <w:spacing w:after="40"/>
            </w:pPr>
            <w:r/>
            <w:r>
              <w:rPr>
                <w:b w:val="0"/>
                <w:sz w:val="18"/>
              </w:rPr>
              <w:t>Day 4</w:t>
            </w:r>
          </w:p>
        </w:tc>
      </w:tr>
    </w:tbl>
    <w:p>
      <w:pPr>
        <w:spacing w:after="80"/>
      </w:pPr>
    </w:p>
    <w:p>
      <w:pPr>
        <w:pStyle w:val="Heading1"/>
      </w:pPr>
      <w:r>
        <w:rPr>
          <w:b w:val="0"/>
          <w:i w:val="0"/>
        </w:rPr>
        <w:t>9.  Primary sources</w:t>
      </w:r>
    </w:p>
    <w:p>
      <w:pPr>
        <w:spacing w:after="100"/>
      </w:pPr>
      <w:r>
        <w:rPr>
          <w:b/>
          <w:i w:val="0"/>
          <w:sz w:val="18"/>
        </w:rPr>
        <w:t>Dragon Hatchling — Kosowski et al. (Pathway). §7.1 merging, §6.2–6.4 monosemanticity and sparsity, App. B.4 training config</w:t>
        <w:br/>
      </w:r>
      <w:r>
        <w:rPr>
          <w:b w:val="0"/>
          <w:i w:val="0"/>
          <w:color w:val="595959"/>
          <w:sz w:val="18"/>
        </w:rPr>
        <w:t>arXiv:2509.26507</w:t>
      </w:r>
    </w:p>
    <w:p>
      <w:pPr>
        <w:spacing w:after="100"/>
      </w:pPr>
      <w:r>
        <w:rPr>
          <w:b/>
          <w:i w:val="0"/>
          <w:sz w:val="18"/>
        </w:rPr>
        <w:t>BDH-CQ: In-Context Learning with Recurrent Latent Reasoning — Engdahl et al.</w:t>
        <w:br/>
      </w:r>
      <w:r>
        <w:rPr>
          <w:b w:val="0"/>
          <w:i w:val="0"/>
          <w:color w:val="595959"/>
          <w:sz w:val="18"/>
        </w:rPr>
        <w:t>arXiv:2608.09888</w:t>
      </w:r>
    </w:p>
    <w:p>
      <w:pPr>
        <w:spacing w:after="100"/>
      </w:pPr>
      <w:r>
        <w:rPr>
          <w:b/>
          <w:i w:val="0"/>
          <w:sz w:val="18"/>
        </w:rPr>
        <w:t>Official BDH implementation (toy) — MIT licence</w:t>
        <w:br/>
      </w:r>
      <w:r>
        <w:rPr>
          <w:b w:val="0"/>
          <w:i w:val="0"/>
          <w:color w:val="595959"/>
          <w:sz w:val="18"/>
        </w:rPr>
        <w:t>https://github.com/pathwaycom/bdh</w:t>
      </w:r>
    </w:p>
    <w:p/>
    <w:p>
      <w:r>
        <w:rPr>
          <w:b/>
          <w:i/>
          <w:sz w:val="18"/>
        </w:rPr>
        <w:t xml:space="preserve">Sourcing discipline: </w:t>
      </w:r>
      <w:r>
        <w:rPr>
          <w:b w:val="0"/>
          <w:i/>
          <w:color w:val="595959"/>
          <w:sz w:val="18"/>
        </w:rPr>
        <w:t>both PDFs are in ps/. Every number that reaches the artifact or the summary is re-verified at its cited table by whoever writes it. Our own results are labelled as toy-scale reimplementation throughout, and are never presented as official BDH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