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pPr>
      <w:r>
        <w:rPr>
          <w:b w:val="0"/>
          <w:i w:val="0"/>
        </w:rPr>
        <w:t>DataForge 2026 — Pathway Track</w:t>
      </w:r>
    </w:p>
    <w:p>
      <w:pPr>
        <w:spacing w:after="40"/>
      </w:pPr>
      <w:r>
        <w:rPr>
          <w:b/>
          <w:i w:val="0"/>
          <w:color w:val="595959"/>
          <w:sz w:val="25"/>
        </w:rPr>
        <w:t>Two Candidate Submissions: Proposed Solutions and Relevance to the Revised Problem Statement</w:t>
      </w:r>
    </w:p>
    <w:p>
      <w:pPr>
        <w:spacing w:after="200"/>
      </w:pPr>
      <w:r>
        <w:rPr>
          <w:b w:val="0"/>
          <w:i/>
          <w:color w:val="595959"/>
          <w:sz w:val="19"/>
        </w:rPr>
        <w:t>Team Invariance  ·  IIT Kharagpur  ·  Prepared 4 September 2026</w:t>
      </w:r>
    </w:p>
    <w:p>
      <w:pPr>
        <w:spacing w:after="200"/>
      </w:pPr>
      <w:r>
        <w:rPr>
          <w:sz w:val="21"/>
        </w:rPr>
        <w:t>This document sets out two candidate projects for the Pathway track, the proposed solution for each, and a clause-by-clause mapping of each onto the revised problem statement and its 100-point rubric. Every quantitative claim in this document has been verified against the primary sources — the Dragon Hatchling paper (arXiv:2509.26507) and the BDH-CQ technical report (arXiv:2608.09888) — and the page or table of origin is given so the team can re-check each one before use.</w:t>
      </w:r>
    </w:p>
    <w:p>
      <w:pPr>
        <w:pStyle w:val="Heading1"/>
      </w:pPr>
      <w:r>
        <w:rPr>
          <w:b w:val="0"/>
          <w:i w:val="0"/>
        </w:rPr>
        <w:t>1.  What the revised problem statement changed</w:t>
      </w:r>
    </w:p>
    <w:p>
      <w:pPr>
        <w:spacing w:after="120"/>
      </w:pPr>
      <w:r>
        <w:rPr>
          <w:b w:val="0"/>
          <w:i w:val="0"/>
        </w:rPr>
        <w:t>The revision is not cosmetic. Four changes materially affect what a winning submission looks like.</w:t>
      </w:r>
    </w:p>
    <w:tbl>
      <w:tblPr>
        <w:tblStyle w:val="TableGrid"/>
        <w:tblW w:type="auto" w:w="0"/>
        <w:jc w:val="center"/>
        <w:tblLook w:firstColumn="1" w:firstRow="1" w:lastColumn="0" w:lastRow="0" w:noHBand="0" w:noVBand="1" w:val="04A0"/>
      </w:tblPr>
      <w:tblGrid>
        <w:gridCol w:w="2880"/>
        <w:gridCol w:w="2880"/>
        <w:gridCol w:w="2880"/>
      </w:tblGrid>
      <w:tr>
        <w:tc>
          <w:tcPr>
            <w:tcW w:type="dxa" w:w="432"/>
            <w:shd w:val="clear" w:color="auto" w:fill="1F4E79"/>
          </w:tcPr>
          <w:p>
            <w:r/>
            <w:r>
              <w:rPr>
                <w:b/>
                <w:color w:val="FFFFFF"/>
                <w:sz w:val="18"/>
              </w:rPr>
              <w:t>#</w:t>
            </w:r>
          </w:p>
        </w:tc>
        <w:tc>
          <w:tcPr>
            <w:tcW w:type="dxa" w:w="4320"/>
            <w:shd w:val="clear" w:color="auto" w:fill="1F4E79"/>
          </w:tcPr>
          <w:p>
            <w:r/>
            <w:r>
              <w:rPr>
                <w:b/>
                <w:color w:val="FFFFFF"/>
                <w:sz w:val="18"/>
              </w:rPr>
              <w:t>Change</w:t>
            </w:r>
          </w:p>
        </w:tc>
        <w:tc>
          <w:tcPr>
            <w:tcW w:type="dxa" w:w="4896"/>
            <w:shd w:val="clear" w:color="auto" w:fill="1F4E79"/>
          </w:tcPr>
          <w:p>
            <w:r/>
            <w:r>
              <w:rPr>
                <w:b/>
                <w:color w:val="FFFFFF"/>
                <w:sz w:val="18"/>
              </w:rPr>
              <w:t>Consequence for us</w:t>
            </w:r>
          </w:p>
        </w:tc>
      </w:tr>
      <w:tr>
        <w:tc>
          <w:tcPr>
            <w:tcW w:type="dxa" w:w="432"/>
          </w:tcPr>
          <w:p>
            <w:pPr>
              <w:spacing w:after="40"/>
            </w:pPr>
            <w:r/>
            <w:r>
              <w:rPr>
                <w:b w:val="0"/>
                <w:sz w:val="18"/>
              </w:rPr>
              <w:t>1</w:t>
            </w:r>
          </w:p>
        </w:tc>
        <w:tc>
          <w:tcPr>
            <w:tcW w:type="dxa" w:w="4320"/>
          </w:tcPr>
          <w:p>
            <w:pPr>
              <w:spacing w:after="40"/>
            </w:pPr>
            <w:r/>
            <w:r>
              <w:rPr>
                <w:b w:val="0"/>
                <w:sz w:val="18"/>
              </w:rPr>
              <w:t xml:space="preserve">The 600–800 word </w:t>
            </w:r>
            <w:r>
              <w:rPr>
                <w:b/>
                <w:sz w:val="18"/>
              </w:rPr>
              <w:t>blog</w:t>
            </w:r>
            <w:r>
              <w:rPr>
                <w:b w:val="0"/>
                <w:sz w:val="18"/>
              </w:rPr>
              <w:t xml:space="preserve"> and its 24-topic list are </w:t>
            </w:r>
            <w:r>
              <w:rPr>
                <w:b/>
                <w:sz w:val="18"/>
              </w:rPr>
              <w:t>removed</w:t>
            </w:r>
            <w:r>
              <w:rPr>
                <w:b w:val="0"/>
                <w:sz w:val="18"/>
              </w:rPr>
              <w:t xml:space="preserve">. Replaced by a </w:t>
            </w:r>
            <w:r>
              <w:rPr>
                <w:b/>
                <w:sz w:val="18"/>
              </w:rPr>
              <w:t>one-page concept summary</w:t>
            </w:r>
            <w:r>
              <w:rPr>
                <w:b w:val="0"/>
                <w:sz w:val="18"/>
              </w:rPr>
              <w:t xml:space="preserve"> (PDF, 500–950 words, 10 pts).</w:t>
            </w:r>
          </w:p>
        </w:tc>
        <w:tc>
          <w:tcPr>
            <w:tcW w:type="dxa" w:w="4896"/>
          </w:tcPr>
          <w:p>
            <w:pPr>
              <w:spacing w:after="40"/>
            </w:pPr>
            <w:r/>
            <w:r>
              <w:rPr>
                <w:b w:val="0"/>
                <w:sz w:val="18"/>
              </w:rPr>
              <w:t>The old "+10 bonus for top-10 blogs" is gone. The summary is now judged for information density and is explicitly screened for "AI slop". It is a briefing document, not an essay.</w:t>
            </w:r>
          </w:p>
        </w:tc>
      </w:tr>
      <w:tr>
        <w:tc>
          <w:tcPr>
            <w:tcW w:type="dxa" w:w="432"/>
            <w:shd w:val="clear" w:color="auto" w:fill="F2F6FA"/>
          </w:tcPr>
          <w:p>
            <w:pPr>
              <w:spacing w:after="40"/>
            </w:pPr>
            <w:r/>
            <w:r>
              <w:rPr>
                <w:b w:val="0"/>
                <w:sz w:val="18"/>
              </w:rPr>
              <w:t>2</w:t>
            </w:r>
          </w:p>
        </w:tc>
        <w:tc>
          <w:tcPr>
            <w:tcW w:type="dxa" w:w="4320"/>
            <w:shd w:val="clear" w:color="auto" w:fill="F2F6FA"/>
          </w:tcPr>
          <w:p>
            <w:pPr>
              <w:spacing w:after="40"/>
            </w:pPr>
            <w:r/>
            <w:r>
              <w:rPr>
                <w:b w:val="0"/>
                <w:sz w:val="18"/>
              </w:rPr>
              <w:t xml:space="preserve">Topic list expanded from ~20 bare phrases to ~28 entries, each with </w:t>
            </w:r>
            <w:r>
              <w:rPr>
                <w:b/>
                <w:sz w:val="18"/>
              </w:rPr>
              <w:t>the BDH hook pre-written into it</w:t>
            </w:r>
            <w:r>
              <w:rPr>
                <w:b w:val="0"/>
                <w:sz w:val="18"/>
              </w:rPr>
              <w:t>.</w:t>
            </w:r>
          </w:p>
        </w:tc>
        <w:tc>
          <w:tcPr>
            <w:tcW w:type="dxa" w:w="4896"/>
            <w:shd w:val="clear" w:color="auto" w:fill="F2F6FA"/>
          </w:tcPr>
          <w:p>
            <w:pPr>
              <w:spacing w:after="40"/>
            </w:pPr>
            <w:r/>
            <w:r>
              <w:rPr>
                <w:b w:val="0"/>
                <w:sz w:val="18"/>
              </w:rPr>
              <w:t>The organisers have pre-empted the obvious readings. Choosing a topic no longer differentiates us; the angle within the topic does.</w:t>
            </w:r>
          </w:p>
        </w:tc>
      </w:tr>
      <w:tr>
        <w:tc>
          <w:tcPr>
            <w:tcW w:type="dxa" w:w="432"/>
          </w:tcPr>
          <w:p>
            <w:pPr>
              <w:spacing w:after="40"/>
            </w:pPr>
            <w:r/>
            <w:r>
              <w:rPr>
                <w:b w:val="0"/>
                <w:sz w:val="18"/>
              </w:rPr>
              <w:t>3</w:t>
            </w:r>
          </w:p>
        </w:tc>
        <w:tc>
          <w:tcPr>
            <w:tcW w:type="dxa" w:w="4320"/>
          </w:tcPr>
          <w:p>
            <w:pPr>
              <w:spacing w:after="40"/>
            </w:pPr>
            <w:r/>
            <w:r>
              <w:rPr>
                <w:b w:val="0"/>
                <w:sz w:val="18"/>
              </w:rPr>
              <w:t xml:space="preserve">New clause: teams are </w:t>
            </w:r>
            <w:r>
              <w:rPr>
                <w:b/>
                <w:sz w:val="18"/>
              </w:rPr>
              <w:t>not expected to run an unavailable BDH or BDH-CQ checkpoint</w:t>
            </w:r>
            <w:r>
              <w:rPr>
                <w:b w:val="0"/>
                <w:sz w:val="18"/>
              </w:rPr>
              <w:t>. Labelled toy reimplementations are permitted.</w:t>
            </w:r>
          </w:p>
        </w:tc>
        <w:tc>
          <w:tcPr>
            <w:tcW w:type="dxa" w:w="4896"/>
          </w:tcPr>
          <w:p>
            <w:pPr>
              <w:spacing w:after="40"/>
            </w:pPr>
            <w:r/>
            <w:r>
              <w:rPr>
                <w:b w:val="0"/>
                <w:sz w:val="18"/>
              </w:rPr>
              <w:t>This legitimises a from-scratch small BDH as the interactive substrate — provided it is clearly labelled and not passed off as an official model.</w:t>
            </w:r>
          </w:p>
        </w:tc>
      </w:tr>
      <w:tr>
        <w:tc>
          <w:tcPr>
            <w:tcW w:type="dxa" w:w="432"/>
            <w:shd w:val="clear" w:color="auto" w:fill="F2F6FA"/>
          </w:tcPr>
          <w:p>
            <w:pPr>
              <w:spacing w:after="40"/>
            </w:pPr>
            <w:r/>
            <w:r>
              <w:rPr>
                <w:b w:val="0"/>
                <w:sz w:val="18"/>
              </w:rPr>
              <w:t>4</w:t>
            </w:r>
          </w:p>
        </w:tc>
        <w:tc>
          <w:tcPr>
            <w:tcW w:type="dxa" w:w="4320"/>
            <w:shd w:val="clear" w:color="auto" w:fill="F2F6FA"/>
          </w:tcPr>
          <w:p>
            <w:pPr>
              <w:spacing w:after="40"/>
            </w:pPr>
            <w:r/>
            <w:r>
              <w:rPr>
                <w:b w:val="0"/>
                <w:sz w:val="18"/>
              </w:rPr>
              <w:t xml:space="preserve">Judging restated as </w:t>
            </w:r>
            <w:r>
              <w:rPr>
                <w:b/>
                <w:sz w:val="18"/>
              </w:rPr>
              <w:t>seven</w:t>
            </w:r>
            <w:r>
              <w:rPr>
                <w:b w:val="0"/>
                <w:sz w:val="18"/>
              </w:rPr>
              <w:t xml:space="preserve"> criteria / 100 pts. "Exceptional" is defined as </w:t>
            </w:r>
            <w:r>
              <w:rPr>
                <w:b/>
                <w:sz w:val="18"/>
              </w:rPr>
              <w:t>a reusable substrate</w:t>
            </w:r>
            <w:r>
              <w:rPr>
                <w:b w:val="0"/>
                <w:sz w:val="18"/>
              </w:rPr>
              <w:t>, a claim reproducible in under a minute, or a resource people keep using.</w:t>
            </w:r>
          </w:p>
        </w:tc>
        <w:tc>
          <w:tcPr>
            <w:tcW w:type="dxa" w:w="4896"/>
            <w:shd w:val="clear" w:color="auto" w:fill="F2F6FA"/>
          </w:tcPr>
          <w:p>
            <w:pPr>
              <w:spacing w:after="40"/>
            </w:pPr>
            <w:r/>
            <w:r>
              <w:rPr>
                <w:b w:val="0"/>
                <w:sz w:val="18"/>
              </w:rPr>
              <w:t>The bar for the top band is a tool, not an article. Both options below are designed against this sentence.</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FFF4E5"/>
          </w:tcPr>
          <w:p>
            <w:r/>
            <w:r>
              <w:rPr>
                <w:b/>
                <w:color w:val="9C2700"/>
                <w:sz w:val="20"/>
              </w:rPr>
              <w:t>Removed topics — do not build these</w:t>
            </w:r>
          </w:p>
          <w:p>
            <w:pPr>
              <w:spacing w:after="40"/>
            </w:pPr>
            <w:r>
              <w:rPr>
                <w:sz w:val="19"/>
              </w:rPr>
              <w:t>Spiking neural networks, Mixture-of-Experts / Jamba, LayerNorm in recurrent systems, and local attention were all in the original topic list and have been cut from the revised one. Any plan drafted against the old PDF needs re-checking against the revised list.</w:t>
            </w:r>
          </w:p>
        </w:tc>
      </w:tr>
    </w:tbl>
    <w:p>
      <w:pPr>
        <w:spacing w:after="80"/>
      </w:pPr>
    </w:p>
    <w:p>
      <w:pPr>
        <w:pStyle w:val="Heading1"/>
      </w:pPr>
      <w:r>
        <w:rPr>
          <w:b w:val="0"/>
          <w:i w:val="0"/>
        </w:rPr>
        <w:t>2.  The competitive picture</w:t>
      </w:r>
    </w:p>
    <w:p>
      <w:pPr>
        <w:spacing w:after="100"/>
      </w:pPr>
      <w:r>
        <w:rPr>
          <w:b w:val="0"/>
          <w:i w:val="0"/>
        </w:rPr>
        <w:t>A survey of existing public BDH explainers shows the field converging hard on a small number of angles. These are already built and publicly available:</w:t>
      </w:r>
    </w:p>
    <w:p>
      <w:pPr>
        <w:pStyle w:val="ListBullet"/>
        <w:spacing w:after="60"/>
      </w:pPr>
      <w:r>
        <w:rPr>
          <w:b/>
          <w:i w:val="0"/>
        </w:rPr>
        <w:t>Sparsity / activation heat-maps</w:t>
      </w:r>
      <w:r>
        <w:rPr>
          <w:b w:val="0"/>
          <w:i w:val="0"/>
        </w:rPr>
        <w:t xml:space="preserve"> — the "~5% of neurons active" result.</w:t>
      </w:r>
    </w:p>
    <w:p>
      <w:pPr>
        <w:pStyle w:val="ListBullet"/>
        <w:spacing w:after="60"/>
      </w:pPr>
      <w:r>
        <w:rPr>
          <w:b/>
          <w:i w:val="0"/>
        </w:rPr>
        <w:t>Hebbian synaptic-state animations</w:t>
      </w:r>
      <w:r>
        <w:rPr>
          <w:b w:val="0"/>
          <w:i w:val="0"/>
        </w:rPr>
        <w:t xml:space="preserve"> — attention-as-synapse visualisations.</w:t>
      </w:r>
    </w:p>
    <w:p>
      <w:pPr>
        <w:pStyle w:val="ListBullet"/>
        <w:spacing w:after="60"/>
      </w:pPr>
      <w:r>
        <w:rPr>
          <w:b/>
          <w:i w:val="0"/>
        </w:rPr>
        <w:t>Monosemantic synapse browsers</w:t>
      </w:r>
      <w:r>
        <w:rPr>
          <w:b w:val="0"/>
          <w:i w:val="0"/>
        </w:rPr>
        <w:t xml:space="preserve"> — the currency/country concept-neuron result.</w:t>
      </w:r>
    </w:p>
    <w:p>
      <w:pPr>
        <w:pStyle w:val="ListBullet"/>
        <w:spacing w:after="60"/>
      </w:pPr>
      <w:r>
        <w:rPr>
          <w:b/>
          <w:i w:val="0"/>
        </w:rPr>
        <w:t>Scale-free degree distributions</w:t>
      </w:r>
      <w:r>
        <w:rPr>
          <w:b w:val="0"/>
          <w:i w:val="0"/>
        </w:rPr>
        <w:t xml:space="preserve"> — power-law hub plots of trained connectivity.</w:t>
      </w:r>
    </w:p>
    <w:p>
      <w:pPr>
        <w:spacing w:after="160"/>
      </w:pPr>
      <w:r>
        <w:rPr>
          <w:b w:val="0"/>
          <w:i/>
          <w:color w:val="595959"/>
        </w:rPr>
        <w:t xml:space="preserve">Prior art: </w:t>
      </w:r>
      <w:r>
        <w:rPr>
          <w:b w:val="0"/>
          <w:i/>
          <w:color w:val="595959"/>
        </w:rPr>
        <w:t>kodecraftr/BDH-Explainer, DakshBeniwal111/bdh-sparse-brain, and Pathway’s own explainer at pathway.com/research/bdh-explainer.</w:t>
      </w:r>
    </w:p>
    <w:p>
      <w:pPr>
        <w:spacing w:after="80"/>
      </w:pPr>
      <w:r>
        <w:rPr>
          <w:b w:val="0"/>
          <w:i w:val="0"/>
        </w:rPr>
        <w:t>These are precisely the readings the revised topic list telegraphs most strongly. Both options below were selected because a targeted search found no existing public explainer occupying them.</w:t>
      </w:r>
    </w:p>
    <w:tbl>
      <w:tblPr>
        <w:tblStyle w:val="TableGrid"/>
        <w:tblW w:type="auto" w:w="0"/>
        <w:tblLook w:firstColumn="1" w:firstRow="1" w:lastColumn="0" w:lastRow="0" w:noHBand="0" w:noVBand="1" w:val="04A0"/>
      </w:tblPr>
      <w:tblGrid>
        <w:gridCol w:w="8640"/>
      </w:tblGrid>
      <w:tr>
        <w:tc>
          <w:tcPr>
            <w:tcW w:type="dxa" w:w="8640"/>
            <w:shd w:val="clear" w:color="auto" w:fill="EEF3F8"/>
          </w:tcPr>
          <w:p>
            <w:r/>
            <w:r>
              <w:rPr>
                <w:b/>
                <w:color w:val="1F4E79"/>
                <w:sz w:val="20"/>
              </w:rPr>
              <w:t>An honest limit on this claim</w:t>
            </w:r>
          </w:p>
          <w:p>
            <w:pPr>
              <w:spacing w:after="40"/>
            </w:pPr>
            <w:r>
              <w:rPr>
                <w:sz w:val="19"/>
              </w:rPr>
              <w:t>This survey covers public prior art only. It cannot see what the other DataForge teams are building this week. Novelty here is a hedge against the "generic overview" failure mode and a tiebreaker — it is not, by itself, what wins. Execution quality and the live-defence round carry more weight in the rubric (30 of 100 points combined).</w:t>
            </w:r>
          </w:p>
        </w:tc>
      </w:tr>
    </w:tbl>
    <w:p>
      <w:pPr>
        <w:spacing w:after="80"/>
      </w:pPr>
    </w:p>
    <w:p>
      <w:r>
        <w:br w:type="page"/>
      </w:r>
    </w:p>
    <w:p>
      <w:pPr>
        <w:pStyle w:val="Heading1"/>
      </w:pPr>
      <w:r>
        <w:rPr>
          <w:b w:val="0"/>
          <w:i w:val="0"/>
        </w:rPr>
        <w:t>3.  Option A — "Model Surgery": BDH models as composable programs</w:t>
      </w:r>
    </w:p>
    <w:p>
      <w:pPr>
        <w:pStyle w:val="Heading2"/>
      </w:pPr>
      <w:r>
        <w:rPr>
          <w:b w:val="0"/>
          <w:i w:val="0"/>
        </w:rPr>
        <w:t>3.1  Topic slot</w:t>
      </w:r>
    </w:p>
    <w:p>
      <w:pPr>
        <w:spacing w:after="160"/>
      </w:pPr>
      <w:r>
        <w:rPr>
          <w:b/>
          <w:i w:val="0"/>
        </w:rPr>
        <w:t xml:space="preserve">Primary: </w:t>
      </w:r>
      <w:r>
        <w:rPr>
          <w:b w:val="0"/>
          <w:i/>
        </w:rPr>
        <w:t>Parametric Memory in LLMs</w:t>
      </w:r>
      <w:r>
        <w:rPr>
          <w:b/>
          <w:i w:val="0"/>
        </w:rPr>
        <w:t xml:space="preserve">  ·  Alternative framing: </w:t>
      </w:r>
      <w:r>
        <w:rPr>
          <w:b w:val="0"/>
          <w:i/>
        </w:rPr>
        <w:t>Post-Transformer Architectures</w:t>
      </w:r>
      <w:r>
        <w:rPr>
          <w:b w:val="0"/>
          <w:i w:val="0"/>
        </w:rPr>
        <w:t xml:space="preserve"> (flagged "particularly timely" in the PS).</w:t>
      </w:r>
    </w:p>
    <w:p>
      <w:pPr>
        <w:pStyle w:val="Heading2"/>
      </w:pPr>
      <w:r>
        <w:rPr>
          <w:b w:val="0"/>
          <w:i w:val="0"/>
        </w:rPr>
        <w:t>3.2  The one-sentence falsifiable claim</w:t>
      </w:r>
    </w:p>
    <w:tbl>
      <w:tblPr>
        <w:tblStyle w:val="TableGrid"/>
        <w:tblW w:type="auto" w:w="0"/>
        <w:tblLook w:firstColumn="1" w:firstRow="1" w:lastColumn="0" w:lastRow="0" w:noHBand="0" w:noVBand="1" w:val="04A0"/>
      </w:tblPr>
      <w:tblGrid>
        <w:gridCol w:w="8640"/>
      </w:tblGrid>
      <w:tr>
        <w:tc>
          <w:tcPr>
            <w:tcW w:type="dxa" w:w="8640"/>
            <w:shd w:val="clear" w:color="auto" w:fill="EEF3F8"/>
          </w:tcPr>
          <w:p>
            <w:r/>
            <w:r>
              <w:rPr>
                <w:b/>
                <w:color w:val="1F4E79"/>
                <w:sz w:val="20"/>
              </w:rPr>
              <w:t>Claim</w:t>
            </w:r>
          </w:p>
          <w:p>
            <w:pPr>
              <w:spacing w:after="40"/>
            </w:pPr>
            <w:r>
              <w:rPr>
                <w:sz w:val="19"/>
              </w:rPr>
              <w:t>Because BDH-GPU concentrates its parameters in a single uniform neuron dimension n, two separately trained BDH models can be fused into one valid model of the same architecture by concatenating their weights along n with no retraining — and the fused model retains the capabilities its parts represented on disjoint neurons while interfering exactly where they competed for the same output channel.</w:t>
            </w:r>
          </w:p>
        </w:tc>
      </w:tr>
    </w:tbl>
    <w:p>
      <w:pPr>
        <w:spacing w:after="80"/>
      </w:pPr>
    </w:p>
    <w:p>
      <w:pPr>
        <w:spacing w:after="160"/>
      </w:pPr>
      <w:r>
        <w:rPr>
          <w:b w:val="0"/>
          <w:i w:val="0"/>
        </w:rPr>
        <w:t>This is falsifiable in both directions: the merge can fail to produce a working model at all, or it can succeed so cleanly that no interference appears. The published result sits between those poles, and that is the lesson.</w:t>
      </w:r>
    </w:p>
    <w:p>
      <w:pPr>
        <w:pStyle w:val="Heading2"/>
      </w:pPr>
      <w:r>
        <w:rPr>
          <w:b w:val="0"/>
          <w:i w:val="0"/>
        </w:rPr>
        <w:t>3.3  Grounding in the primary source</w:t>
      </w:r>
    </w:p>
    <w:p>
      <w:pPr>
        <w:spacing w:after="100"/>
      </w:pPr>
      <w:r>
        <w:rPr>
          <w:b w:val="0"/>
          <w:i w:val="0"/>
        </w:rPr>
        <w:t>The claim is Section 7.1 of the Dragon Hatchling paper (p. 41), with training detail in Appendix B.4 (p. 55). The paper itself names the capability "model surgery" in its conclusions (Section 8.1, item 4). The published procedure, verified verbatim:</w:t>
      </w:r>
    </w:p>
    <w:p>
      <w:pPr>
        <w:pStyle w:val="ListBullet"/>
        <w:spacing w:after="60"/>
      </w:pPr>
      <w:r>
        <w:rPr>
          <w:b w:val="0"/>
          <w:i w:val="0"/>
        </w:rPr>
        <w:t xml:space="preserve">Train a base model on English–Spanish translation, </w:t>
      </w:r>
      <w:r>
        <w:rPr>
          <w:b/>
          <w:i w:val="0"/>
        </w:rPr>
        <w:t>n = 24,576 neurons, 19M parameters</w:t>
      </w:r>
      <w:r>
        <w:rPr>
          <w:b w:val="0"/>
          <w:i w:val="0"/>
        </w:rPr>
        <w:t>.</w:t>
      </w:r>
    </w:p>
    <w:p>
      <w:pPr>
        <w:pStyle w:val="ListBullet"/>
        <w:spacing w:after="60"/>
      </w:pPr>
      <w:r>
        <w:rPr>
          <w:b w:val="0"/>
          <w:i w:val="0"/>
        </w:rPr>
        <w:t>Clone it; continue training separately on English–French and English–Portuguese.</w:t>
      </w:r>
    </w:p>
    <w:p>
      <w:pPr>
        <w:pStyle w:val="ListBullet"/>
        <w:spacing w:after="60"/>
      </w:pPr>
      <w:r>
        <w:rPr>
          <w:b w:val="0"/>
          <w:i w:val="0"/>
        </w:rPr>
        <w:t xml:space="preserve">Merge the En-Fr and En-Pt models into </w:t>
      </w:r>
      <w:r>
        <w:rPr>
          <w:b/>
          <w:i w:val="0"/>
        </w:rPr>
        <w:t>n = 49,152 (38M params)</w:t>
      </w:r>
      <w:r>
        <w:rPr>
          <w:b w:val="0"/>
          <w:i w:val="0"/>
        </w:rPr>
        <w:t xml:space="preserve"> by </w:t>
      </w:r>
      <w:r>
        <w:rPr>
          <w:b/>
          <w:i w:val="0"/>
        </w:rPr>
        <w:t>concatenating</w:t>
      </w:r>
      <w:r>
        <w:rPr>
          <w:b w:val="0"/>
          <w:i w:val="0"/>
        </w:rPr>
        <w:t xml:space="preserve"> every tensor that has an n dimension (D</w:t>
      </w:r>
      <w:r>
        <w:rPr>
          <w:b w:val="0"/>
          <w:i w:val="0"/>
          <w:sz w:val="14"/>
        </w:rPr>
        <w:t>y</w:t>
      </w:r>
      <w:r>
        <w:rPr>
          <w:b w:val="0"/>
          <w:i w:val="0"/>
        </w:rPr>
        <w:t>, D</w:t>
      </w:r>
      <w:r>
        <w:rPr>
          <w:b w:val="0"/>
          <w:i w:val="0"/>
          <w:sz w:val="14"/>
        </w:rPr>
        <w:t>x</w:t>
      </w:r>
      <w:r>
        <w:rPr>
          <w:b w:val="0"/>
          <w:i w:val="0"/>
        </w:rPr>
        <w:t xml:space="preserve">, E, RoPE frequency buffers) along n, and </w:t>
      </w:r>
      <w:r>
        <w:rPr>
          <w:b/>
          <w:i w:val="0"/>
        </w:rPr>
        <w:t>averaging</w:t>
      </w:r>
      <w:r>
        <w:rPr>
          <w:b w:val="0"/>
          <w:i w:val="0"/>
        </w:rPr>
        <w:t xml:space="preserve"> everything else (token embeddings, token-prediction weights).</w:t>
      </w:r>
    </w:p>
    <w:p>
      <w:pPr>
        <w:pStyle w:val="ListBullet"/>
        <w:spacing w:after="60"/>
      </w:pPr>
      <w:r>
        <w:rPr>
          <w:b w:val="0"/>
          <w:i w:val="0"/>
        </w:rPr>
        <w:t xml:space="preserve">Evaluate with </w:t>
      </w:r>
      <w:r>
        <w:rPr>
          <w:b/>
          <w:i w:val="0"/>
        </w:rPr>
        <w:t>no subsequent training or finetuning at all</w:t>
      </w:r>
      <w:r>
        <w:rPr>
          <w:b w:val="0"/>
          <w:i w:val="0"/>
        </w:rPr>
        <w:t>.</w:t>
      </w:r>
    </w:p>
    <w:p>
      <w:pPr>
        <w:spacing w:after="80"/>
      </w:pPr>
      <w:r>
        <w:rPr>
          <w:b w:val="0"/>
          <w:i w:val="0"/>
        </w:rPr>
        <w:t>Reported validation next-token-prediction losses (Table 2, p. 41 — lower is better):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736"/>
            <w:shd w:val="clear" w:color="auto" w:fill="1F4E79"/>
          </w:tcPr>
          <w:p>
            <w:r/>
            <w:r>
              <w:rPr>
                <w:b/>
                <w:color w:val="FFFFFF"/>
                <w:sz w:val="18"/>
              </w:rPr>
              <w:t>Model</w:t>
            </w:r>
          </w:p>
        </w:tc>
        <w:tc>
          <w:tcPr>
            <w:tcW w:type="dxa" w:w="1152"/>
            <w:shd w:val="clear" w:color="auto" w:fill="1F4E79"/>
          </w:tcPr>
          <w:p>
            <w:r/>
            <w:r>
              <w:rPr>
                <w:b/>
                <w:color w:val="FFFFFF"/>
                <w:sz w:val="18"/>
              </w:rPr>
              <w:t>Es→En</w:t>
            </w:r>
          </w:p>
        </w:tc>
        <w:tc>
          <w:tcPr>
            <w:tcW w:type="dxa" w:w="1152"/>
            <w:shd w:val="clear" w:color="auto" w:fill="1F4E79"/>
          </w:tcPr>
          <w:p>
            <w:r/>
            <w:r>
              <w:rPr>
                <w:b/>
                <w:color w:val="FFFFFF"/>
                <w:sz w:val="18"/>
              </w:rPr>
              <w:t>Fr→En</w:t>
            </w:r>
          </w:p>
        </w:tc>
        <w:tc>
          <w:tcPr>
            <w:tcW w:type="dxa" w:w="1152"/>
            <w:shd w:val="clear" w:color="auto" w:fill="1F4E79"/>
          </w:tcPr>
          <w:p>
            <w:r/>
            <w:r>
              <w:rPr>
                <w:b/>
                <w:color w:val="FFFFFF"/>
                <w:sz w:val="18"/>
              </w:rPr>
              <w:t>Pt→En</w:t>
            </w:r>
          </w:p>
        </w:tc>
        <w:tc>
          <w:tcPr>
            <w:tcW w:type="dxa" w:w="1152"/>
            <w:shd w:val="clear" w:color="auto" w:fill="1F4E79"/>
          </w:tcPr>
          <w:p>
            <w:r/>
            <w:r>
              <w:rPr>
                <w:b/>
                <w:color w:val="FFFFFF"/>
                <w:sz w:val="18"/>
              </w:rPr>
              <w:t>En→Es</w:t>
            </w:r>
          </w:p>
        </w:tc>
        <w:tc>
          <w:tcPr>
            <w:tcW w:type="dxa" w:w="1152"/>
            <w:shd w:val="clear" w:color="auto" w:fill="1F4E79"/>
          </w:tcPr>
          <w:p>
            <w:r/>
            <w:r>
              <w:rPr>
                <w:b/>
                <w:color w:val="FFFFFF"/>
                <w:sz w:val="18"/>
              </w:rPr>
              <w:t>En→Fr</w:t>
            </w:r>
          </w:p>
        </w:tc>
        <w:tc>
          <w:tcPr>
            <w:tcW w:type="dxa" w:w="1152"/>
            <w:shd w:val="clear" w:color="auto" w:fill="1F4E79"/>
          </w:tcPr>
          <w:p>
            <w:r/>
            <w:r>
              <w:rPr>
                <w:b/>
                <w:color w:val="FFFFFF"/>
                <w:sz w:val="18"/>
              </w:rPr>
              <w:t>En→Pt</w:t>
            </w:r>
          </w:p>
        </w:tc>
      </w:tr>
      <w:tr>
        <w:tc>
          <w:tcPr>
            <w:tcW w:type="dxa" w:w="2736"/>
          </w:tcPr>
          <w:p>
            <w:pPr>
              <w:spacing w:after="40"/>
            </w:pPr>
            <w:r/>
            <w:r>
              <w:rPr>
                <w:b w:val="0"/>
                <w:sz w:val="18"/>
              </w:rPr>
              <w:t>1: Base En-Es</w:t>
            </w:r>
          </w:p>
        </w:tc>
        <w:tc>
          <w:tcPr>
            <w:tcW w:type="dxa" w:w="1152"/>
          </w:tcPr>
          <w:p>
            <w:pPr>
              <w:spacing w:after="40"/>
            </w:pPr>
            <w:r/>
            <w:r>
              <w:rPr>
                <w:b w:val="0"/>
                <w:sz w:val="18"/>
              </w:rPr>
              <w:t>0.36</w:t>
            </w:r>
          </w:p>
        </w:tc>
        <w:tc>
          <w:tcPr>
            <w:tcW w:type="dxa" w:w="1152"/>
          </w:tcPr>
          <w:p>
            <w:pPr>
              <w:spacing w:after="40"/>
            </w:pPr>
            <w:r/>
            <w:r>
              <w:rPr>
                <w:b w:val="0"/>
                <w:sz w:val="18"/>
              </w:rPr>
              <w:t>0.77</w:t>
            </w:r>
          </w:p>
        </w:tc>
        <w:tc>
          <w:tcPr>
            <w:tcW w:type="dxa" w:w="1152"/>
          </w:tcPr>
          <w:p>
            <w:pPr>
              <w:spacing w:after="40"/>
            </w:pPr>
            <w:r/>
            <w:r>
              <w:rPr>
                <w:b w:val="0"/>
                <w:sz w:val="18"/>
              </w:rPr>
              <w:t>0.64</w:t>
            </w:r>
          </w:p>
        </w:tc>
        <w:tc>
          <w:tcPr>
            <w:tcW w:type="dxa" w:w="1152"/>
          </w:tcPr>
          <w:p>
            <w:pPr>
              <w:spacing w:after="40"/>
            </w:pPr>
            <w:r/>
            <w:r>
              <w:rPr>
                <w:b w:val="0"/>
                <w:sz w:val="18"/>
              </w:rPr>
              <w:t>0.35</w:t>
            </w:r>
          </w:p>
        </w:tc>
        <w:tc>
          <w:tcPr>
            <w:tcW w:type="dxa" w:w="1152"/>
          </w:tcPr>
          <w:p>
            <w:pPr>
              <w:spacing w:after="40"/>
            </w:pPr>
            <w:r/>
            <w:r>
              <w:rPr>
                <w:b w:val="0"/>
                <w:sz w:val="18"/>
              </w:rPr>
              <w:t>2.21</w:t>
            </w:r>
          </w:p>
        </w:tc>
        <w:tc>
          <w:tcPr>
            <w:tcW w:type="dxa" w:w="1152"/>
          </w:tcPr>
          <w:p>
            <w:pPr>
              <w:spacing w:after="40"/>
            </w:pPr>
            <w:r/>
            <w:r>
              <w:rPr>
                <w:b w:val="0"/>
                <w:sz w:val="18"/>
              </w:rPr>
              <w:t>2.27</w:t>
            </w:r>
          </w:p>
        </w:tc>
      </w:tr>
      <w:tr>
        <w:tc>
          <w:tcPr>
            <w:tcW w:type="dxa" w:w="2736"/>
            <w:shd w:val="clear" w:color="auto" w:fill="F2F6FA"/>
          </w:tcPr>
          <w:p>
            <w:pPr>
              <w:spacing w:after="40"/>
            </w:pPr>
            <w:r/>
            <w:r>
              <w:rPr>
                <w:b w:val="0"/>
                <w:sz w:val="18"/>
              </w:rPr>
              <w:t>2: Base tuned on En-Fr</w:t>
            </w:r>
          </w:p>
        </w:tc>
        <w:tc>
          <w:tcPr>
            <w:tcW w:type="dxa" w:w="1152"/>
            <w:shd w:val="clear" w:color="auto" w:fill="F2F6FA"/>
          </w:tcPr>
          <w:p>
            <w:pPr>
              <w:spacing w:after="40"/>
            </w:pPr>
            <w:r/>
            <w:r>
              <w:rPr>
                <w:b w:val="0"/>
                <w:sz w:val="18"/>
              </w:rPr>
              <w:t>0.58</w:t>
            </w:r>
          </w:p>
        </w:tc>
        <w:tc>
          <w:tcPr>
            <w:tcW w:type="dxa" w:w="1152"/>
            <w:shd w:val="clear" w:color="auto" w:fill="F2F6FA"/>
          </w:tcPr>
          <w:p>
            <w:pPr>
              <w:spacing w:after="40"/>
            </w:pPr>
            <w:r/>
            <w:r>
              <w:rPr>
                <w:b w:val="0"/>
                <w:sz w:val="18"/>
              </w:rPr>
              <w:t>0.36</w:t>
            </w:r>
          </w:p>
        </w:tc>
        <w:tc>
          <w:tcPr>
            <w:tcW w:type="dxa" w:w="1152"/>
            <w:shd w:val="clear" w:color="auto" w:fill="F2F6FA"/>
          </w:tcPr>
          <w:p>
            <w:pPr>
              <w:spacing w:after="40"/>
            </w:pPr>
            <w:r/>
            <w:r>
              <w:rPr>
                <w:b w:val="0"/>
                <w:sz w:val="18"/>
              </w:rPr>
              <w:t>0.68</w:t>
            </w:r>
          </w:p>
        </w:tc>
        <w:tc>
          <w:tcPr>
            <w:tcW w:type="dxa" w:w="1152"/>
            <w:shd w:val="clear" w:color="auto" w:fill="F2F6FA"/>
          </w:tcPr>
          <w:p>
            <w:pPr>
              <w:spacing w:after="40"/>
            </w:pPr>
            <w:r/>
            <w:r>
              <w:rPr>
                <w:b w:val="0"/>
                <w:sz w:val="18"/>
              </w:rPr>
              <w:t>2.57</w:t>
            </w:r>
          </w:p>
        </w:tc>
        <w:tc>
          <w:tcPr>
            <w:tcW w:type="dxa" w:w="1152"/>
            <w:shd w:val="clear" w:color="auto" w:fill="F2F6FA"/>
          </w:tcPr>
          <w:p>
            <w:pPr>
              <w:spacing w:after="40"/>
            </w:pPr>
            <w:r/>
            <w:r>
              <w:rPr>
                <w:b w:val="0"/>
                <w:sz w:val="18"/>
              </w:rPr>
              <w:t>0.31</w:t>
            </w:r>
          </w:p>
        </w:tc>
        <w:tc>
          <w:tcPr>
            <w:tcW w:type="dxa" w:w="1152"/>
            <w:shd w:val="clear" w:color="auto" w:fill="F2F6FA"/>
          </w:tcPr>
          <w:p>
            <w:pPr>
              <w:spacing w:after="40"/>
            </w:pPr>
            <w:r/>
            <w:r>
              <w:rPr>
                <w:b w:val="0"/>
                <w:sz w:val="18"/>
              </w:rPr>
              <w:t>2.54</w:t>
            </w:r>
          </w:p>
        </w:tc>
      </w:tr>
      <w:tr>
        <w:tc>
          <w:tcPr>
            <w:tcW w:type="dxa" w:w="2736"/>
          </w:tcPr>
          <w:p>
            <w:pPr>
              <w:spacing w:after="40"/>
            </w:pPr>
            <w:r/>
            <w:r>
              <w:rPr>
                <w:b w:val="0"/>
                <w:sz w:val="18"/>
              </w:rPr>
              <w:t>3: Base tuned on En-Pt</w:t>
            </w:r>
          </w:p>
        </w:tc>
        <w:tc>
          <w:tcPr>
            <w:tcW w:type="dxa" w:w="1152"/>
          </w:tcPr>
          <w:p>
            <w:pPr>
              <w:spacing w:after="40"/>
            </w:pPr>
            <w:r/>
            <w:r>
              <w:rPr>
                <w:b w:val="0"/>
                <w:sz w:val="18"/>
              </w:rPr>
              <w:t>0.44</w:t>
            </w:r>
          </w:p>
        </w:tc>
        <w:tc>
          <w:tcPr>
            <w:tcW w:type="dxa" w:w="1152"/>
          </w:tcPr>
          <w:p>
            <w:pPr>
              <w:spacing w:after="40"/>
            </w:pPr>
            <w:r/>
            <w:r>
              <w:rPr>
                <w:b w:val="0"/>
                <w:sz w:val="18"/>
              </w:rPr>
              <w:t>0.76</w:t>
            </w:r>
          </w:p>
        </w:tc>
        <w:tc>
          <w:tcPr>
            <w:tcW w:type="dxa" w:w="1152"/>
          </w:tcPr>
          <w:p>
            <w:pPr>
              <w:spacing w:after="40"/>
            </w:pPr>
            <w:r/>
            <w:r>
              <w:rPr>
                <w:b w:val="0"/>
                <w:sz w:val="18"/>
              </w:rPr>
              <w:t>0.34</w:t>
            </w:r>
          </w:p>
        </w:tc>
        <w:tc>
          <w:tcPr>
            <w:tcW w:type="dxa" w:w="1152"/>
          </w:tcPr>
          <w:p>
            <w:pPr>
              <w:spacing w:after="40"/>
            </w:pPr>
            <w:r/>
            <w:r>
              <w:rPr>
                <w:b w:val="0"/>
                <w:sz w:val="18"/>
              </w:rPr>
              <w:t>1.79</w:t>
            </w:r>
          </w:p>
        </w:tc>
        <w:tc>
          <w:tcPr>
            <w:tcW w:type="dxa" w:w="1152"/>
          </w:tcPr>
          <w:p>
            <w:pPr>
              <w:spacing w:after="40"/>
            </w:pPr>
            <w:r/>
            <w:r>
              <w:rPr>
                <w:b w:val="0"/>
                <w:sz w:val="18"/>
              </w:rPr>
              <w:t>2.20</w:t>
            </w:r>
          </w:p>
        </w:tc>
        <w:tc>
          <w:tcPr>
            <w:tcW w:type="dxa" w:w="1152"/>
          </w:tcPr>
          <w:p>
            <w:pPr>
              <w:spacing w:after="40"/>
            </w:pPr>
            <w:r/>
            <w:r>
              <w:rPr>
                <w:b w:val="0"/>
                <w:sz w:val="18"/>
              </w:rPr>
              <w:t>0.33</w:t>
            </w:r>
          </w:p>
        </w:tc>
      </w:tr>
      <w:tr>
        <w:tc>
          <w:tcPr>
            <w:tcW w:type="dxa" w:w="2736"/>
            <w:shd w:val="clear" w:color="auto" w:fill="F2F6FA"/>
          </w:tcPr>
          <w:p>
            <w:pPr>
              <w:spacing w:after="40"/>
            </w:pPr>
            <w:r/>
            <w:r>
              <w:rPr>
                <w:b w:val="0"/>
                <w:sz w:val="18"/>
              </w:rPr>
              <w:t xml:space="preserve">4: </w:t>
            </w:r>
            <w:r>
              <w:rPr>
                <w:b/>
                <w:sz w:val="18"/>
              </w:rPr>
              <w:t>Merged (2 ‖ 3)</w:t>
            </w:r>
          </w:p>
        </w:tc>
        <w:tc>
          <w:tcPr>
            <w:tcW w:type="dxa" w:w="1152"/>
            <w:shd w:val="clear" w:color="auto" w:fill="F2F6FA"/>
          </w:tcPr>
          <w:p>
            <w:pPr>
              <w:spacing w:after="40"/>
            </w:pPr>
            <w:r/>
            <w:r>
              <w:rPr>
                <w:b/>
                <w:sz w:val="18"/>
              </w:rPr>
              <w:t>0.43</w:t>
            </w:r>
          </w:p>
        </w:tc>
        <w:tc>
          <w:tcPr>
            <w:tcW w:type="dxa" w:w="1152"/>
            <w:shd w:val="clear" w:color="auto" w:fill="F2F6FA"/>
          </w:tcPr>
          <w:p>
            <w:pPr>
              <w:spacing w:after="40"/>
            </w:pPr>
            <w:r/>
            <w:r>
              <w:rPr>
                <w:b/>
                <w:sz w:val="18"/>
              </w:rPr>
              <w:t>0.40</w:t>
            </w:r>
          </w:p>
        </w:tc>
        <w:tc>
          <w:tcPr>
            <w:tcW w:type="dxa" w:w="1152"/>
            <w:shd w:val="clear" w:color="auto" w:fill="F2F6FA"/>
          </w:tcPr>
          <w:p>
            <w:pPr>
              <w:spacing w:after="40"/>
            </w:pPr>
            <w:r/>
            <w:r>
              <w:rPr>
                <w:b/>
                <w:sz w:val="18"/>
              </w:rPr>
              <w:t>0.39</w:t>
            </w:r>
          </w:p>
        </w:tc>
        <w:tc>
          <w:tcPr>
            <w:tcW w:type="dxa" w:w="1152"/>
            <w:shd w:val="clear" w:color="auto" w:fill="F2F6FA"/>
          </w:tcPr>
          <w:p>
            <w:pPr>
              <w:spacing w:after="40"/>
            </w:pPr>
            <w:r/>
            <w:r>
              <w:rPr>
                <w:b/>
                <w:sz w:val="18"/>
              </w:rPr>
              <w:t>1.45</w:t>
            </w:r>
          </w:p>
        </w:tc>
        <w:tc>
          <w:tcPr>
            <w:tcW w:type="dxa" w:w="1152"/>
            <w:shd w:val="clear" w:color="auto" w:fill="F2F6FA"/>
          </w:tcPr>
          <w:p>
            <w:pPr>
              <w:spacing w:after="40"/>
            </w:pPr>
            <w:r/>
            <w:r>
              <w:rPr>
                <w:b/>
                <w:sz w:val="18"/>
              </w:rPr>
              <w:t>0.77</w:t>
            </w:r>
          </w:p>
        </w:tc>
        <w:tc>
          <w:tcPr>
            <w:tcW w:type="dxa" w:w="1152"/>
            <w:shd w:val="clear" w:color="auto" w:fill="F2F6FA"/>
          </w:tcPr>
          <w:p>
            <w:pPr>
              <w:spacing w:after="40"/>
            </w:pPr>
            <w:r/>
            <w:r>
              <w:rPr>
                <w:b/>
                <w:sz w:val="18"/>
              </w:rPr>
              <w:t>0.86</w:t>
            </w:r>
          </w:p>
        </w:tc>
      </w:tr>
    </w:tbl>
    <w:p>
      <w:pPr>
        <w:spacing w:after="80"/>
      </w:pPr>
    </w:p>
    <w:p>
      <w:pPr>
        <w:spacing w:after="120"/>
      </w:pPr>
      <w:r>
        <w:rPr>
          <w:b/>
          <w:i w:val="0"/>
        </w:rPr>
        <w:t xml:space="preserve">Read the last row carefully — this is the whole pedagogical payload. </w:t>
      </w:r>
      <w:r>
        <w:rPr>
          <w:b w:val="0"/>
          <w:i w:val="0"/>
        </w:rPr>
        <w:t xml:space="preserve">The merged model translates all three languages </w:t>
      </w:r>
      <w:r>
        <w:rPr>
          <w:b w:val="0"/>
          <w:i/>
        </w:rPr>
        <w:t>into</w:t>
      </w:r>
      <w:r>
        <w:rPr>
          <w:b w:val="0"/>
          <w:i w:val="0"/>
        </w:rPr>
        <w:t xml:space="preserve"> English at near-specialist quality (0.43 / 0.40 / 0.39). But translating </w:t>
      </w:r>
      <w:r>
        <w:rPr>
          <w:b w:val="0"/>
          <w:i/>
        </w:rPr>
        <w:t>out of</w:t>
      </w:r>
      <w:r>
        <w:rPr>
          <w:b w:val="0"/>
          <w:i w:val="0"/>
        </w:rPr>
        <w:t xml:space="preserve"> English it degrades sharply (En→Es worsens from 0.35 to 1.45) and, qualitatively, mixes Spanish, French and Portuguese words and grammatical constructions in a single output. The paper calls this "human-like degradation of operation."</w:t>
      </w:r>
    </w:p>
    <w:p>
      <w:pPr>
        <w:spacing w:after="160"/>
      </w:pPr>
      <w:r>
        <w:rPr>
          <w:b w:val="0"/>
          <w:i w:val="0"/>
        </w:rPr>
        <w:t>The asymmetry has a clean mechanistic explanation the learner can be led to discover: the English decoding pathway is shared and reinforced by both parents, while the three target-language generation pathways now compete for one averaged token-prediction head. That is the interference, and it is visible.</w:t>
      </w:r>
    </w:p>
    <w:p>
      <w:pPr>
        <w:pStyle w:val="Heading2"/>
      </w:pPr>
      <w:r>
        <w:rPr>
          <w:b w:val="0"/>
          <w:i w:val="0"/>
        </w:rPr>
        <w:t>3.4  What we actually build</w:t>
      </w:r>
    </w:p>
    <w:p>
      <w:pPr>
        <w:spacing w:after="120"/>
      </w:pPr>
      <w:r>
        <w:rPr>
          <w:b w:val="0"/>
          <w:i w:val="0"/>
        </w:rPr>
        <w:t>A browser-based merge sandbox running a real BDH-GPU forward pass, plus a labelled replication of the published translation result as the evidence anchor.</w:t>
      </w:r>
    </w:p>
    <w:p>
      <w:pPr>
        <w:pStyle w:val="Heading3"/>
      </w:pPr>
      <w:r>
        <w:rPr>
          <w:b w:val="0"/>
          <w:i w:val="0"/>
        </w:rPr>
        <w:t>Scale</w:t>
      </w:r>
    </w:p>
    <w:p>
      <w:pPr>
        <w:spacing w:after="120"/>
      </w:pPr>
      <w:r>
        <w:rPr>
          <w:b w:val="0"/>
          <w:i w:val="0"/>
        </w:rPr>
        <w:t>We do not replicate the paper at 19M parameters. We shrink to n ≈ 2,048–4,096, d = 64, L = 2–4, character-level. That is under 1M parameters — minutes to train on CPU, roughly 800 KB shipped as int8. Since the BDH-GPU forward pass is four matrix multiplications, it runs live in plain JavaScript with no ONNX runtime and no WebAssembly toolchain.</w:t>
      </w:r>
    </w:p>
    <w:p>
      <w:pPr>
        <w:pStyle w:val="Heading3"/>
      </w:pPr>
      <w:r>
        <w:rPr>
          <w:b w:val="0"/>
          <w:i w:val="0"/>
        </w:rPr>
        <w:t>The two parent models</w:t>
      </w:r>
    </w:p>
    <w:p>
      <w:pPr>
        <w:spacing w:after="120"/>
      </w:pPr>
      <w:r>
        <w:rPr>
          <w:b w:val="0"/>
          <w:i w:val="0"/>
        </w:rPr>
        <w:t>Rather than natural languages, we train on two synthetic "languages" over a shared semantic core, with a controllable overlap parameter. This matters: it lets us dial the conceptual overlap between the parents and show interference appearing as overlap rises, instead of hoping it shows up by luck at small scale.</w:t>
      </w:r>
    </w:p>
    <w:p>
      <w:pPr>
        <w:pStyle w:val="Heading3"/>
      </w:pPr>
      <w:r>
        <w:rPr>
          <w:b w:val="0"/>
          <w:i w:val="0"/>
        </w:rPr>
        <w:t>The controls (each maps to exactly one concept variable)</w:t>
      </w:r>
    </w:p>
    <w:p>
      <w:pPr>
        <w:pStyle w:val="ListBullet"/>
        <w:spacing w:after="60"/>
      </w:pPr>
      <w:r>
        <w:rPr>
          <w:b/>
          <w:i w:val="0"/>
        </w:rPr>
        <w:t>Merge rule: concatenate vs. average.</w:t>
      </w:r>
      <w:r>
        <w:rPr>
          <w:b w:val="0"/>
          <w:i w:val="0"/>
        </w:rPr>
        <w:t xml:space="preserve"> The decisive control. Averaging is the only merge available between two independently trained Transformers; it destroys both models. Concatenation is available to BDH only because parameters = 3nd + 2Ωd scale in one uniform dimension. One toggle teaches the entire architectural point.</w:t>
      </w:r>
    </w:p>
    <w:p>
      <w:pPr>
        <w:pStyle w:val="ListBullet"/>
        <w:spacing w:after="60"/>
      </w:pPr>
      <w:r>
        <w:rPr>
          <w:b/>
          <w:i w:val="0"/>
        </w:rPr>
        <w:t>Parent overlap.</w:t>
      </w:r>
      <w:r>
        <w:rPr>
          <w:b w:val="0"/>
          <w:i w:val="0"/>
        </w:rPr>
        <w:t xml:space="preserve"> How much semantic ground the two parents share — drives the interference from invisible to total.</w:t>
      </w:r>
    </w:p>
    <w:p>
      <w:pPr>
        <w:pStyle w:val="ListBullet"/>
        <w:spacing w:after="60"/>
      </w:pPr>
      <w:r>
        <w:rPr>
          <w:b/>
          <w:i w:val="0"/>
        </w:rPr>
        <w:t>Neuron-slice ablation.</w:t>
      </w:r>
      <w:r>
        <w:rPr>
          <w:b w:val="0"/>
          <w:i w:val="0"/>
        </w:rPr>
        <w:t xml:space="preserve"> Zero out a contiguous slice of the merged n-dimension and watch which parent’s capability dies. This is the live-defence exhibit: we must be able to predict the outcome before running it.</w:t>
      </w:r>
    </w:p>
    <w:p>
      <w:pPr>
        <w:pStyle w:val="Heading3"/>
      </w:pPr>
      <w:r>
        <w:rPr>
          <w:b w:val="0"/>
          <w:i w:val="0"/>
        </w:rPr>
        <w:t>Truth beside estimate</w:t>
      </w:r>
    </w:p>
    <w:p>
      <w:pPr>
        <w:spacing w:after="160"/>
      </w:pPr>
      <w:r>
        <w:rPr>
          <w:b w:val="0"/>
          <w:i w:val="0"/>
        </w:rPr>
        <w:t>Every generation panel shows the merged model’s output next to both parents’ outputs and the oracle target for the same prompt. The gap is the lesson, per the PS design standard.</w:t>
      </w:r>
    </w:p>
    <w:p>
      <w:pPr>
        <w:pStyle w:val="Heading2"/>
      </w:pPr>
      <w:r>
        <w:rPr>
          <w:b w:val="0"/>
          <w:i w:val="0"/>
        </w:rPr>
        <w:t>3.5  Seven-day plan for three people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color="auto" w:fill="1F4E79"/>
          </w:tcPr>
          <w:p>
            <w:r/>
            <w:r>
              <w:rPr>
                <w:b/>
                <w:color w:val="FFFFFF"/>
                <w:sz w:val="17"/>
              </w:rPr>
              <w:t>Role</w:t>
            </w:r>
          </w:p>
        </w:tc>
        <w:tc>
          <w:tcPr>
            <w:tcW w:type="dxa" w:w="2232"/>
            <w:shd w:val="clear" w:color="auto" w:fill="1F4E79"/>
          </w:tcPr>
          <w:p>
            <w:r/>
            <w:r>
              <w:rPr>
                <w:b/>
                <w:color w:val="FFFFFF"/>
                <w:sz w:val="17"/>
              </w:rPr>
              <w:t>Days 1–2</w:t>
            </w:r>
          </w:p>
        </w:tc>
        <w:tc>
          <w:tcPr>
            <w:tcW w:type="dxa" w:w="2232"/>
            <w:shd w:val="clear" w:color="auto" w:fill="1F4E79"/>
          </w:tcPr>
          <w:p>
            <w:r/>
            <w:r>
              <w:rPr>
                <w:b/>
                <w:color w:val="FFFFFF"/>
                <w:sz w:val="17"/>
              </w:rPr>
              <w:t>Days 3–4</w:t>
            </w:r>
          </w:p>
        </w:tc>
        <w:tc>
          <w:tcPr>
            <w:tcW w:type="dxa" w:w="2160"/>
            <w:shd w:val="clear" w:color="auto" w:fill="1F4E79"/>
          </w:tcPr>
          <w:p>
            <w:r/>
            <w:r>
              <w:rPr>
                <w:b/>
                <w:color w:val="FFFFFF"/>
                <w:sz w:val="17"/>
              </w:rPr>
              <w:t>Days 5–6</w:t>
            </w:r>
          </w:p>
        </w:tc>
        <w:tc>
          <w:tcPr>
            <w:tcW w:type="dxa" w:w="1728"/>
            <w:shd w:val="clear" w:color="auto" w:fill="1F4E79"/>
          </w:tcPr>
          <w:p>
            <w:r/>
            <w:r>
              <w:rPr>
                <w:b/>
                <w:color w:val="FFFFFF"/>
                <w:sz w:val="17"/>
              </w:rPr>
              <w:t>Day 7</w:t>
            </w:r>
          </w:p>
        </w:tc>
      </w:tr>
      <w:tr>
        <w:tc>
          <w:tcPr>
            <w:tcW w:type="dxa" w:w="1440"/>
          </w:tcPr>
          <w:p>
            <w:pPr>
              <w:spacing w:after="40"/>
            </w:pPr>
            <w:r/>
            <w:r>
              <w:rPr>
                <w:b/>
                <w:sz w:val="17"/>
              </w:rPr>
              <w:t>A — models</w:t>
            </w:r>
          </w:p>
        </w:tc>
        <w:tc>
          <w:tcPr>
            <w:tcW w:type="dxa" w:w="2232"/>
          </w:tcPr>
          <w:p>
            <w:pPr>
              <w:spacing w:after="40"/>
            </w:pPr>
            <w:r/>
            <w:r>
              <w:rPr>
                <w:b w:val="0"/>
                <w:sz w:val="17"/>
              </w:rPr>
              <w:t>Design the two synthetic domains and the overlap knob; fork pathwaycom/bdh (MIT); train the parent pair.</w:t>
            </w:r>
          </w:p>
        </w:tc>
        <w:tc>
          <w:tcPr>
            <w:tcW w:type="dxa" w:w="2232"/>
          </w:tcPr>
          <w:p>
            <w:pPr>
              <w:spacing w:after="40"/>
            </w:pPr>
            <w:r/>
            <w:r>
              <w:rPr>
                <w:b w:val="0"/>
                <w:sz w:val="17"/>
              </w:rPr>
              <w:t>Verify the merge reproduces the qualitative asymmetry; run ablation sweeps; export weights + JSON.</w:t>
            </w:r>
          </w:p>
        </w:tc>
        <w:tc>
          <w:tcPr>
            <w:tcW w:type="dxa" w:w="2160"/>
          </w:tcPr>
          <w:p>
            <w:pPr>
              <w:spacing w:after="40"/>
            </w:pPr>
            <w:r/>
            <w:r>
              <w:rPr>
                <w:b w:val="0"/>
                <w:sz w:val="17"/>
              </w:rPr>
              <w:t>Precompute neuron-attribution views; freeze artefacts.</w:t>
            </w:r>
          </w:p>
        </w:tc>
        <w:tc>
          <w:tcPr>
            <w:tcW w:type="dxa" w:w="1728"/>
          </w:tcPr>
          <w:p>
            <w:pPr>
              <w:spacing w:after="40"/>
            </w:pPr>
            <w:r/>
            <w:r>
              <w:rPr>
                <w:b w:val="0"/>
                <w:sz w:val="17"/>
              </w:rPr>
              <w:t>Reproduction script + seed pinning.</w:t>
            </w:r>
          </w:p>
        </w:tc>
      </w:tr>
      <w:tr>
        <w:tc>
          <w:tcPr>
            <w:tcW w:type="dxa" w:w="1440"/>
            <w:shd w:val="clear" w:color="auto" w:fill="F2F6FA"/>
          </w:tcPr>
          <w:p>
            <w:pPr>
              <w:spacing w:after="40"/>
            </w:pPr>
            <w:r/>
            <w:r>
              <w:rPr>
                <w:b/>
                <w:sz w:val="17"/>
              </w:rPr>
              <w:t>B — substrate</w:t>
            </w:r>
          </w:p>
        </w:tc>
        <w:tc>
          <w:tcPr>
            <w:tcW w:type="dxa" w:w="2232"/>
            <w:shd w:val="clear" w:color="auto" w:fill="F2F6FA"/>
          </w:tcPr>
          <w:p>
            <w:pPr>
              <w:spacing w:after="40"/>
            </w:pPr>
            <w:r/>
            <w:r>
              <w:rPr>
                <w:b w:val="0"/>
                <w:sz w:val="17"/>
              </w:rPr>
              <w:t>JS forward pass for BDH-GPU; weight loader; render loop.</w:t>
            </w:r>
          </w:p>
        </w:tc>
        <w:tc>
          <w:tcPr>
            <w:tcW w:type="dxa" w:w="2232"/>
            <w:shd w:val="clear" w:color="auto" w:fill="F2F6FA"/>
          </w:tcPr>
          <w:p>
            <w:pPr>
              <w:spacing w:after="40"/>
            </w:pPr>
            <w:r/>
            <w:r>
              <w:rPr>
                <w:b w:val="0"/>
                <w:sz w:val="17"/>
              </w:rPr>
              <w:t>Merge/average toggle; overlap control; neuron-slice ablation; sub-second feedback.</w:t>
            </w:r>
          </w:p>
        </w:tc>
        <w:tc>
          <w:tcPr>
            <w:tcW w:type="dxa" w:w="2160"/>
            <w:shd w:val="clear" w:color="auto" w:fill="F2F6FA"/>
          </w:tcPr>
          <w:p>
            <w:pPr>
              <w:spacing w:after="40"/>
            </w:pPr>
            <w:r/>
            <w:r>
              <w:rPr>
                <w:b w:val="0"/>
                <w:sz w:val="17"/>
              </w:rPr>
              <w:t>Guided narrative; open on a preset already running (no blank canvas, no Run button).</w:t>
            </w:r>
          </w:p>
        </w:tc>
        <w:tc>
          <w:tcPr>
            <w:tcW w:type="dxa" w:w="1728"/>
            <w:shd w:val="clear" w:color="auto" w:fill="F2F6FA"/>
          </w:tcPr>
          <w:p>
            <w:pPr>
              <w:spacing w:after="40"/>
            </w:pPr>
            <w:r/>
            <w:r>
              <w:rPr>
                <w:b w:val="0"/>
                <w:sz w:val="17"/>
              </w:rPr>
              <w:t>Mobile layout; load behaviour; link stability.</w:t>
            </w:r>
          </w:p>
        </w:tc>
      </w:tr>
      <w:tr>
        <w:tc>
          <w:tcPr>
            <w:tcW w:type="dxa" w:w="1440"/>
          </w:tcPr>
          <w:p>
            <w:pPr>
              <w:spacing w:after="40"/>
            </w:pPr>
            <w:r/>
            <w:r>
              <w:rPr>
                <w:b/>
                <w:sz w:val="17"/>
              </w:rPr>
              <w:t>C — evidence</w:t>
            </w:r>
          </w:p>
        </w:tc>
        <w:tc>
          <w:tcPr>
            <w:tcW w:type="dxa" w:w="2232"/>
          </w:tcPr>
          <w:p>
            <w:pPr>
              <w:spacing w:after="40"/>
            </w:pPr>
            <w:r/>
            <w:r>
              <w:rPr>
                <w:b w:val="0"/>
                <w:sz w:val="17"/>
              </w:rPr>
              <w:t>Freeze the claim; mine primary sources; build the citation table.</w:t>
            </w:r>
          </w:p>
        </w:tc>
        <w:tc>
          <w:tcPr>
            <w:tcW w:type="dxa" w:w="2232"/>
          </w:tcPr>
          <w:p>
            <w:pPr>
              <w:spacing w:after="40"/>
            </w:pPr>
            <w:r/>
            <w:r>
              <w:rPr>
                <w:b w:val="0"/>
                <w:sz w:val="17"/>
              </w:rPr>
              <w:t>Draft the one-page concept summary.</w:t>
            </w:r>
          </w:p>
        </w:tc>
        <w:tc>
          <w:tcPr>
            <w:tcW w:type="dxa" w:w="2160"/>
          </w:tcPr>
          <w:p>
            <w:pPr>
              <w:spacing w:after="40"/>
            </w:pPr>
            <w:r/>
            <w:r>
              <w:rPr>
                <w:b w:val="0"/>
                <w:sz w:val="17"/>
              </w:rPr>
              <w:t>README: which parts are live / precomputed / synthetic / illustrative.</w:t>
            </w:r>
          </w:p>
        </w:tc>
        <w:tc>
          <w:tcPr>
            <w:tcW w:type="dxa" w:w="1728"/>
          </w:tcPr>
          <w:p>
            <w:pPr>
              <w:spacing w:after="40"/>
            </w:pPr>
            <w:r/>
            <w:r>
              <w:rPr>
                <w:b w:val="0"/>
                <w:sz w:val="17"/>
              </w:rPr>
              <w:t>Provenance, licences, AI-assistance disclosure; run the defence drill.</w:t>
            </w:r>
          </w:p>
        </w:tc>
      </w:tr>
    </w:tbl>
    <w:p>
      <w:pPr>
        <w:spacing w:after="80"/>
      </w:pPr>
    </w:p>
    <w:p>
      <w:pPr>
        <w:pStyle w:val="Heading2"/>
      </w:pPr>
      <w:r>
        <w:rPr>
          <w:b w:val="0"/>
          <w:i w:val="0"/>
        </w:rPr>
        <w:t>3.6  Risks and mitigations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18"/>
              </w:rPr>
              <w:t>Risk</w:t>
            </w:r>
          </w:p>
        </w:tc>
        <w:tc>
          <w:tcPr>
            <w:tcW w:type="dxa" w:w="5328"/>
            <w:shd w:val="clear" w:color="auto" w:fill="1F4E79"/>
          </w:tcPr>
          <w:p>
            <w:r/>
            <w:r>
              <w:rPr>
                <w:b/>
                <w:color w:val="FFFFFF"/>
                <w:sz w:val="18"/>
              </w:rPr>
              <w:t>Mitigation</w:t>
            </w:r>
          </w:p>
        </w:tc>
      </w:tr>
      <w:tr>
        <w:tc>
          <w:tcPr>
            <w:tcW w:type="dxa" w:w="4320"/>
          </w:tcPr>
          <w:p>
            <w:pPr>
              <w:spacing w:after="40"/>
            </w:pPr>
            <w:r/>
            <w:r>
              <w:rPr>
                <w:b w:val="0"/>
                <w:sz w:val="18"/>
              </w:rPr>
              <w:t xml:space="preserve">A tiny model merges </w:t>
            </w:r>
            <w:r>
              <w:rPr>
                <w:b/>
                <w:sz w:val="18"/>
              </w:rPr>
              <w:t>too cleanly</w:t>
            </w:r>
            <w:r>
              <w:rPr>
                <w:b w:val="0"/>
                <w:sz w:val="18"/>
              </w:rPr>
              <w:t>, so the interference lesson never appears.</w:t>
            </w:r>
          </w:p>
        </w:tc>
        <w:tc>
          <w:tcPr>
            <w:tcW w:type="dxa" w:w="5328"/>
          </w:tcPr>
          <w:p>
            <w:pPr>
              <w:spacing w:after="40"/>
            </w:pPr>
            <w:r/>
            <w:r>
              <w:rPr>
                <w:b w:val="0"/>
                <w:sz w:val="18"/>
              </w:rPr>
              <w:t>The overlap knob is the mitigation — we can always raise overlap until interference is forced, and showing that transition *is* the lesson.</w:t>
            </w:r>
          </w:p>
        </w:tc>
      </w:tr>
      <w:tr>
        <w:tc>
          <w:tcPr>
            <w:tcW w:type="dxa" w:w="4320"/>
            <w:shd w:val="clear" w:color="auto" w:fill="F2F6FA"/>
          </w:tcPr>
          <w:p>
            <w:pPr>
              <w:spacing w:after="40"/>
            </w:pPr>
            <w:r/>
            <w:r>
              <w:rPr>
                <w:b w:val="0"/>
                <w:sz w:val="18"/>
              </w:rPr>
              <w:t xml:space="preserve">Getting the merge procedure </w:t>
            </w:r>
            <w:r>
              <w:rPr>
                <w:b/>
                <w:sz w:val="18"/>
              </w:rPr>
              <w:t>subtly wrong</w:t>
            </w:r>
            <w:r>
              <w:rPr>
                <w:b w:val="0"/>
                <w:sz w:val="18"/>
              </w:rPr>
              <w:t xml:space="preserve"> and being caught in the defence round.</w:t>
            </w:r>
          </w:p>
        </w:tc>
        <w:tc>
          <w:tcPr>
            <w:tcW w:type="dxa" w:w="5328"/>
            <w:shd w:val="clear" w:color="auto" w:fill="F2F6FA"/>
          </w:tcPr>
          <w:p>
            <w:pPr>
              <w:spacing w:after="40"/>
            </w:pPr>
            <w:r/>
            <w:r>
              <w:rPr>
                <w:b w:val="0"/>
                <w:sz w:val="18"/>
              </w:rPr>
              <w:t>The rule is precise and published: concatenate tensors with an n dimension, average the rest. Encode it as an assertion in the export script, not as folklore.</w:t>
            </w:r>
          </w:p>
        </w:tc>
      </w:tr>
      <w:tr>
        <w:tc>
          <w:tcPr>
            <w:tcW w:type="dxa" w:w="4320"/>
          </w:tcPr>
          <w:p>
            <w:pPr>
              <w:spacing w:after="40"/>
            </w:pPr>
            <w:r/>
            <w:r>
              <w:rPr>
                <w:b w:val="0"/>
                <w:sz w:val="18"/>
              </w:rPr>
              <w:t xml:space="preserve">Overclaiming that our toy model </w:t>
            </w:r>
            <w:r>
              <w:rPr>
                <w:b/>
                <w:sz w:val="18"/>
              </w:rPr>
              <w:t>is</w:t>
            </w:r>
            <w:r>
              <w:rPr>
                <w:b w:val="0"/>
                <w:sz w:val="18"/>
              </w:rPr>
              <w:t xml:space="preserve"> BDH.</w:t>
            </w:r>
          </w:p>
        </w:tc>
        <w:tc>
          <w:tcPr>
            <w:tcW w:type="dxa" w:w="5328"/>
          </w:tcPr>
          <w:p>
            <w:pPr>
              <w:spacing w:after="40"/>
            </w:pPr>
            <w:r/>
            <w:r>
              <w:rPr>
                <w:b w:val="0"/>
                <w:sz w:val="18"/>
              </w:rPr>
              <w:t>The PS explicitly permits labelled reimplementations. Label it as such in the artefact UI itself, not only in the README.</w:t>
            </w:r>
          </w:p>
        </w:tc>
      </w:tr>
      <w:tr>
        <w:tc>
          <w:tcPr>
            <w:tcW w:type="dxa" w:w="4320"/>
            <w:shd w:val="clear" w:color="auto" w:fill="F2F6FA"/>
          </w:tcPr>
          <w:p>
            <w:pPr>
              <w:spacing w:after="40"/>
            </w:pPr>
            <w:r/>
            <w:r>
              <w:rPr>
                <w:b w:val="0"/>
                <w:sz w:val="18"/>
              </w:rPr>
              <w:t>Browser performance at larger n.</w:t>
            </w:r>
          </w:p>
        </w:tc>
        <w:tc>
          <w:tcPr>
            <w:tcW w:type="dxa" w:w="5328"/>
            <w:shd w:val="clear" w:color="auto" w:fill="F2F6FA"/>
          </w:tcPr>
          <w:p>
            <w:pPr>
              <w:spacing w:after="40"/>
            </w:pPr>
            <w:r/>
            <w:r>
              <w:rPr>
                <w:b w:val="0"/>
                <w:sz w:val="18"/>
              </w:rPr>
              <w:t>Cap n and state the cap. The PS accepts caps and approximations provided they are stated ("No hidden limits").</w:t>
            </w:r>
          </w:p>
        </w:tc>
      </w:tr>
    </w:tbl>
    <w:p>
      <w:pPr>
        <w:spacing w:after="80"/>
      </w:pPr>
    </w:p>
    <w:p>
      <w:r>
        <w:br w:type="page"/>
      </w:r>
    </w:p>
    <w:p>
      <w:pPr>
        <w:pStyle w:val="Heading1"/>
      </w:pPr>
      <w:r>
        <w:rPr>
          <w:b w:val="0"/>
          <w:i w:val="0"/>
        </w:rPr>
        <w:t>4.  Option B — "The Coverage Cliff": where BDH-CQ stops generalising</w:t>
      </w:r>
    </w:p>
    <w:p>
      <w:pPr>
        <w:pStyle w:val="Heading2"/>
      </w:pPr>
      <w:r>
        <w:rPr>
          <w:b w:val="0"/>
          <w:i w:val="0"/>
        </w:rPr>
        <w:t>4.1  Topic slot</w:t>
      </w:r>
    </w:p>
    <w:p>
      <w:pPr>
        <w:spacing w:after="160"/>
      </w:pPr>
      <w:r>
        <w:rPr>
          <w:b/>
          <w:i w:val="0"/>
        </w:rPr>
        <w:t xml:space="preserve">Primary: </w:t>
      </w:r>
      <w:r>
        <w:rPr>
          <w:b w:val="0"/>
          <w:i/>
        </w:rPr>
        <w:t>Demonstration Coverage and Extrapolation</w:t>
      </w:r>
      <w:r>
        <w:rPr>
          <w:b/>
          <w:i w:val="0"/>
        </w:rPr>
        <w:t xml:space="preserve">  ·  Adjacent: </w:t>
      </w:r>
      <w:r>
        <w:rPr>
          <w:b w:val="0"/>
          <w:i/>
        </w:rPr>
        <w:t>Skill Acquisition from Demonstrations</w:t>
      </w:r>
      <w:r>
        <w:rPr>
          <w:b w:val="0"/>
          <w:i w:val="0"/>
        </w:rPr>
        <w:t xml:space="preserve">, </w:t>
      </w:r>
      <w:r>
        <w:rPr>
          <w:b w:val="0"/>
          <w:i/>
        </w:rPr>
        <w:t>Test-Time Adaptation</w:t>
      </w:r>
      <w:r>
        <w:rPr>
          <w:b w:val="0"/>
          <w:i w:val="0"/>
        </w:rPr>
        <w:t>.</w:t>
      </w:r>
    </w:p>
    <w:p>
      <w:pPr>
        <w:pStyle w:val="Heading2"/>
      </w:pPr>
      <w:r>
        <w:rPr>
          <w:b w:val="0"/>
          <w:i w:val="0"/>
        </w:rPr>
        <w:t>4.2  The one-sentence falsifiable claim</w:t>
      </w:r>
    </w:p>
    <w:tbl>
      <w:tblPr>
        <w:tblStyle w:val="TableGrid"/>
        <w:tblW w:type="auto" w:w="0"/>
        <w:tblLook w:firstColumn="1" w:firstRow="1" w:lastColumn="0" w:lastRow="0" w:noHBand="0" w:noVBand="1" w:val="04A0"/>
      </w:tblPr>
      <w:tblGrid>
        <w:gridCol w:w="8640"/>
      </w:tblGrid>
      <w:tr>
        <w:tc>
          <w:tcPr>
            <w:tcW w:type="dxa" w:w="8640"/>
            <w:shd w:val="clear" w:color="auto" w:fill="EEF3F8"/>
          </w:tcPr>
          <w:p>
            <w:r/>
            <w:r>
              <w:rPr>
                <w:b/>
                <w:color w:val="1F4E79"/>
                <w:sz w:val="20"/>
              </w:rPr>
              <w:t>Claim</w:t>
            </w:r>
          </w:p>
          <w:p>
            <w:pPr>
              <w:spacing w:after="40"/>
            </w:pPr>
            <w:r>
              <w:rPr>
                <w:sz w:val="19"/>
              </w:rPr>
              <w:t>A model that has genuinely inferred a rule should apply it beyond the complexity it was shown. BDH-CQ mostly does not: it saturates at the demonstrated complexity and falls off a cliff one step beyond — and adding a single demonstration at the target complexity substantially recovers performance, which distinguishes a failure to extrapolate from a failure to execute.</w:t>
            </w:r>
          </w:p>
        </w:tc>
      </w:tr>
    </w:tbl>
    <w:p>
      <w:pPr>
        <w:spacing w:after="80"/>
      </w:pPr>
    </w:p>
    <w:p>
      <w:pPr>
        <w:pStyle w:val="Heading2"/>
      </w:pPr>
      <w:r>
        <w:rPr>
          <w:b w:val="0"/>
          <w:i w:val="0"/>
        </w:rPr>
        <w:t>4.3  Grounding in the primary source</w:t>
      </w:r>
    </w:p>
    <w:p>
      <w:pPr>
        <w:spacing w:after="120"/>
      </w:pPr>
      <w:r>
        <w:rPr>
          <w:b w:val="0"/>
          <w:i w:val="0"/>
        </w:rPr>
        <w:t>The BDH-CQ report contains a controlled-intervention study that almost every competing team will skip in favour of the 29.5% headline. It is the richest and least-quoted material in the Pathway corpus. All figures below are from Sections 6.2–6.3 of arXiv:2608.09888.</w:t>
      </w:r>
    </w:p>
    <w:p>
      <w:pPr>
        <w:pStyle w:val="Heading3"/>
      </w:pPr>
      <w:r>
        <w:rPr>
          <w:b w:val="0"/>
          <w:i w:val="0"/>
        </w:rPr>
        <w:t>Controlled generalisation curves (Section 6.2, exact held-out-output accuracy, pass@2)</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4E79"/>
          </w:tcPr>
          <w:p>
            <w:r/>
            <w:r>
              <w:rPr>
                <w:b/>
                <w:color w:val="FFFFFF"/>
                <w:sz w:val="18"/>
              </w:rPr>
              <w:t>Family</w:t>
            </w:r>
          </w:p>
        </w:tc>
        <w:tc>
          <w:tcPr>
            <w:tcW w:type="dxa" w:w="2160"/>
            <w:shd w:val="clear" w:color="auto" w:fill="1F4E79"/>
          </w:tcPr>
          <w:p>
            <w:r/>
            <w:r>
              <w:rPr>
                <w:b/>
                <w:color w:val="FFFFFF"/>
                <w:sz w:val="18"/>
              </w:rPr>
              <w:t>Demonstrated range</w:t>
            </w:r>
          </w:p>
        </w:tc>
        <w:tc>
          <w:tcPr>
            <w:tcW w:type="dxa" w:w="5328"/>
            <w:shd w:val="clear" w:color="auto" w:fill="1F4E79"/>
          </w:tcPr>
          <w:p>
            <w:r/>
            <w:r>
              <w:rPr>
                <w:b/>
                <w:color w:val="FFFFFF"/>
                <w:sz w:val="18"/>
              </w:rPr>
              <w:t>Held-out result</w:t>
            </w:r>
          </w:p>
        </w:tc>
      </w:tr>
      <w:tr>
        <w:tc>
          <w:tcPr>
            <w:tcW w:type="dxa" w:w="2160"/>
          </w:tcPr>
          <w:p>
            <w:pPr>
              <w:spacing w:after="40"/>
            </w:pPr>
            <w:r/>
            <w:r>
              <w:rPr>
                <w:b w:val="0"/>
                <w:sz w:val="18"/>
              </w:rPr>
              <w:t>Horizontal propagation</w:t>
            </w:r>
          </w:p>
        </w:tc>
        <w:tc>
          <w:tcPr>
            <w:tcW w:type="dxa" w:w="2160"/>
          </w:tcPr>
          <w:p>
            <w:pPr>
              <w:spacing w:after="40"/>
            </w:pPr>
            <w:r/>
            <w:r>
              <w:rPr>
                <w:b w:val="0"/>
                <w:sz w:val="18"/>
              </w:rPr>
              <w:t>distances 1–3</w:t>
            </w:r>
          </w:p>
        </w:tc>
        <w:tc>
          <w:tcPr>
            <w:tcW w:type="dxa" w:w="5328"/>
          </w:tcPr>
          <w:p>
            <w:pPr>
              <w:spacing w:after="40"/>
            </w:pPr>
            <w:r/>
            <w:r>
              <w:rPr>
                <w:b/>
                <w:sz w:val="18"/>
              </w:rPr>
              <w:t>48/48</w:t>
            </w:r>
            <w:r>
              <w:rPr>
                <w:b w:val="0"/>
                <w:sz w:val="18"/>
              </w:rPr>
              <w:t xml:space="preserve"> correct across distances 2–8 — no ceiling reached</w:t>
            </w:r>
          </w:p>
        </w:tc>
      </w:tr>
      <w:tr>
        <w:tc>
          <w:tcPr>
            <w:tcW w:type="dxa" w:w="2160"/>
            <w:shd w:val="clear" w:color="auto" w:fill="F2F6FA"/>
          </w:tcPr>
          <w:p>
            <w:pPr>
              <w:spacing w:after="40"/>
            </w:pPr>
            <w:r/>
            <w:r>
              <w:rPr>
                <w:b w:val="0"/>
                <w:sz w:val="18"/>
              </w:rPr>
              <w:t>Motif copying</w:t>
            </w:r>
          </w:p>
        </w:tc>
        <w:tc>
          <w:tcPr>
            <w:tcW w:type="dxa" w:w="2160"/>
            <w:shd w:val="clear" w:color="auto" w:fill="F2F6FA"/>
          </w:tcPr>
          <w:p>
            <w:pPr>
              <w:spacing w:after="40"/>
            </w:pPr>
            <w:r/>
            <w:r>
              <w:rPr>
                <w:b w:val="0"/>
                <w:sz w:val="18"/>
              </w:rPr>
              <w:t>1–2 copies</w:t>
            </w:r>
          </w:p>
        </w:tc>
        <w:tc>
          <w:tcPr>
            <w:tcW w:type="dxa" w:w="5328"/>
            <w:shd w:val="clear" w:color="auto" w:fill="F2F6FA"/>
          </w:tcPr>
          <w:p>
            <w:pPr>
              <w:spacing w:after="40"/>
            </w:pPr>
            <w:r/>
            <w:r>
              <w:rPr>
                <w:b/>
                <w:sz w:val="18"/>
              </w:rPr>
              <w:t>48/48</w:t>
            </w:r>
            <w:r>
              <w:rPr>
                <w:b w:val="0"/>
                <w:sz w:val="18"/>
              </w:rPr>
              <w:t xml:space="preserve"> correct as target sites increase 1→4 — no ceiling reached</w:t>
            </w:r>
          </w:p>
        </w:tc>
      </w:tr>
      <w:tr>
        <w:tc>
          <w:tcPr>
            <w:tcW w:type="dxa" w:w="2160"/>
          </w:tcPr>
          <w:p>
            <w:pPr>
              <w:spacing w:after="40"/>
            </w:pPr>
            <w:r/>
            <w:r>
              <w:rPr>
                <w:b w:val="0"/>
                <w:sz w:val="18"/>
              </w:rPr>
              <w:t>Ordering (sort bars)</w:t>
            </w:r>
          </w:p>
        </w:tc>
        <w:tc>
          <w:tcPr>
            <w:tcW w:type="dxa" w:w="2160"/>
          </w:tcPr>
          <w:p>
            <w:pPr>
              <w:spacing w:after="40"/>
            </w:pPr>
            <w:r/>
            <w:r>
              <w:rPr>
                <w:b w:val="0"/>
                <w:sz w:val="18"/>
              </w:rPr>
              <w:t>sequences of length 2–4</w:t>
            </w:r>
          </w:p>
        </w:tc>
        <w:tc>
          <w:tcPr>
            <w:tcW w:type="dxa" w:w="5328"/>
          </w:tcPr>
          <w:p>
            <w:pPr>
              <w:spacing w:after="40"/>
            </w:pPr>
            <w:r/>
            <w:r>
              <w:rPr>
                <w:b w:val="0"/>
                <w:sz w:val="18"/>
              </w:rPr>
              <w:t xml:space="preserve">near-saturated to length 5, then </w:t>
            </w:r>
            <w:r>
              <w:rPr>
                <w:b/>
                <w:sz w:val="18"/>
              </w:rPr>
              <w:t>29/36</w:t>
            </w:r>
            <w:r>
              <w:rPr>
                <w:b w:val="0"/>
                <w:sz w:val="18"/>
              </w:rPr>
              <w:t xml:space="preserve"> at length 6, </w:t>
            </w:r>
            <w:r>
              <w:rPr>
                <w:b/>
                <w:sz w:val="18"/>
              </w:rPr>
              <w:t>8/24</w:t>
            </w:r>
            <w:r>
              <w:rPr>
                <w:b w:val="0"/>
                <w:sz w:val="18"/>
              </w:rPr>
              <w:t xml:space="preserve"> at 7, </w:t>
            </w:r>
            <w:r>
              <w:rPr>
                <w:b/>
                <w:sz w:val="18"/>
              </w:rPr>
              <w:t>1/24</w:t>
            </w:r>
            <w:r>
              <w:rPr>
                <w:b w:val="0"/>
                <w:sz w:val="18"/>
              </w:rPr>
              <w:t xml:space="preserve"> at 8</w:t>
            </w:r>
          </w:p>
        </w:tc>
      </w:tr>
      <w:tr>
        <w:tc>
          <w:tcPr>
            <w:tcW w:type="dxa" w:w="2160"/>
            <w:shd w:val="clear" w:color="auto" w:fill="F2F6FA"/>
          </w:tcPr>
          <w:p>
            <w:pPr>
              <w:spacing w:after="40"/>
            </w:pPr>
            <w:r/>
            <w:r>
              <w:rPr>
                <w:b w:val="0"/>
                <w:sz w:val="18"/>
              </w:rPr>
              <w:t>Nested containment</w:t>
            </w:r>
          </w:p>
        </w:tc>
        <w:tc>
          <w:tcPr>
            <w:tcW w:type="dxa" w:w="2160"/>
            <w:shd w:val="clear" w:color="auto" w:fill="F2F6FA"/>
          </w:tcPr>
          <w:p>
            <w:pPr>
              <w:spacing w:after="40"/>
            </w:pPr>
            <w:r/>
            <w:r>
              <w:rPr>
                <w:b w:val="0"/>
                <w:sz w:val="18"/>
              </w:rPr>
              <w:t>depths 1–3</w:t>
            </w:r>
          </w:p>
        </w:tc>
        <w:tc>
          <w:tcPr>
            <w:tcW w:type="dxa" w:w="5328"/>
            <w:shd w:val="clear" w:color="auto" w:fill="F2F6FA"/>
          </w:tcPr>
          <w:p>
            <w:pPr>
              <w:spacing w:after="40"/>
            </w:pPr>
            <w:r/>
            <w:r>
              <w:rPr>
                <w:b w:val="0"/>
                <w:sz w:val="18"/>
              </w:rPr>
              <w:t xml:space="preserve">near-saturated to depth 4, then </w:t>
            </w:r>
            <w:r>
              <w:rPr>
                <w:b/>
                <w:sz w:val="18"/>
              </w:rPr>
              <w:t>29/36</w:t>
            </w:r>
            <w:r>
              <w:rPr>
                <w:b w:val="0"/>
                <w:sz w:val="18"/>
              </w:rPr>
              <w:t xml:space="preserve"> at depth 5</w:t>
            </w:r>
          </w:p>
        </w:tc>
      </w:tr>
    </w:tbl>
    <w:p>
      <w:pPr>
        <w:spacing w:after="80"/>
      </w:pPr>
    </w:p>
    <w:p>
      <w:pPr>
        <w:pStyle w:val="Heading3"/>
      </w:pPr>
      <w:r>
        <w:rPr>
          <w:b w:val="0"/>
          <w:i w:val="0"/>
        </w:rPr>
        <w:t>The two declines have different signatures — and this is the sharpest teaching point in the report</w:t>
      </w:r>
    </w:p>
    <w:p>
      <w:pPr>
        <w:pStyle w:val="ListBullet"/>
        <w:spacing w:after="60"/>
      </w:pPr>
      <w:r>
        <w:rPr>
          <w:b w:val="0"/>
          <w:i w:val="0"/>
        </w:rPr>
        <w:t xml:space="preserve">Ordering at length 8: only </w:t>
      </w:r>
      <w:r>
        <w:rPr>
          <w:b/>
          <w:i w:val="0"/>
        </w:rPr>
        <w:t>3/24</w:t>
      </w:r>
      <w:r>
        <w:rPr>
          <w:b w:val="0"/>
          <w:i w:val="0"/>
        </w:rPr>
        <w:t xml:space="preserve"> held-out outputs even have the correct dimensions. The failure destroys the output as a whole.</w:t>
      </w:r>
    </w:p>
    <w:p>
      <w:pPr>
        <w:pStyle w:val="ListBullet"/>
        <w:spacing w:after="60"/>
      </w:pPr>
      <w:r>
        <w:rPr>
          <w:b w:val="0"/>
          <w:i w:val="0"/>
        </w:rPr>
        <w:t xml:space="preserve">Nesting at depth 5: </w:t>
      </w:r>
      <w:r>
        <w:rPr>
          <w:b/>
          <w:i w:val="0"/>
        </w:rPr>
        <w:t>all 36</w:t>
      </w:r>
      <w:r>
        <w:rPr>
          <w:b w:val="0"/>
          <w:i w:val="0"/>
        </w:rPr>
        <w:t xml:space="preserve"> outputs have correct dimensions, and mean best-candidate cell accuracy exceeds </w:t>
      </w:r>
      <w:r>
        <w:rPr>
          <w:b/>
          <w:i w:val="0"/>
        </w:rPr>
        <w:t>99.9%</w:t>
      </w:r>
      <w:r>
        <w:rPr>
          <w:b w:val="0"/>
          <w:i w:val="0"/>
        </w:rPr>
        <w:t xml:space="preserve">. Errors typically differ from the target in a </w:t>
      </w:r>
      <w:r>
        <w:rPr>
          <w:b w:val="0"/>
          <w:i/>
        </w:rPr>
        <w:t>single containment decision</w:t>
      </w:r>
      <w:r>
        <w:rPr>
          <w:b w:val="0"/>
          <w:i w:val="0"/>
        </w:rPr>
        <w:t>.</w:t>
      </w:r>
    </w:p>
    <w:p>
      <w:pPr>
        <w:pStyle w:val="Heading3"/>
      </w:pPr>
      <w:r>
        <w:rPr>
          <w:b w:val="0"/>
          <w:i w:val="0"/>
        </w:rPr>
        <w:t>The recovery experiment — the core of the artefact (Table 3, Section 6.2)</w:t>
      </w:r>
    </w:p>
    <w:p>
      <w:pPr>
        <w:spacing w:after="80"/>
      </w:pPr>
      <w:r>
        <w:rPr>
          <w:b w:val="0"/>
          <w:i w:val="0"/>
        </w:rPr>
        <w:t>The same 24 held-out inputs are re-run byte-identically under two contexts. A "short" context stops below the test complexity; a "supported" context adds one demonstration at the target complexity.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color="auto" w:fill="1F4E79"/>
          </w:tcPr>
          <w:p>
            <w:r/>
            <w:r>
              <w:rPr>
                <w:b/>
                <w:color w:val="FFFFFF"/>
                <w:sz w:val="18"/>
              </w:rPr>
              <w:t>Family</w:t>
            </w:r>
          </w:p>
        </w:tc>
        <w:tc>
          <w:tcPr>
            <w:tcW w:type="dxa" w:w="2304"/>
            <w:shd w:val="clear" w:color="auto" w:fill="1F4E79"/>
          </w:tcPr>
          <w:p>
            <w:r/>
            <w:r>
              <w:rPr>
                <w:b/>
                <w:color w:val="FFFFFF"/>
                <w:sz w:val="18"/>
              </w:rPr>
              <w:t>Context</w:t>
            </w:r>
          </w:p>
        </w:tc>
        <w:tc>
          <w:tcPr>
            <w:tcW w:type="dxa" w:w="2160"/>
            <w:shd w:val="clear" w:color="auto" w:fill="1F4E79"/>
          </w:tcPr>
          <w:p>
            <w:r/>
            <w:r>
              <w:rPr>
                <w:b/>
                <w:color w:val="FFFFFF"/>
                <w:sz w:val="18"/>
              </w:rPr>
              <w:t>Output p@1</w:t>
            </w:r>
          </w:p>
        </w:tc>
        <w:tc>
          <w:tcPr>
            <w:tcW w:type="dxa" w:w="2160"/>
            <w:shd w:val="clear" w:color="auto" w:fill="1F4E79"/>
          </w:tcPr>
          <w:p>
            <w:r/>
            <w:r>
              <w:rPr>
                <w:b/>
                <w:color w:val="FFFFFF"/>
                <w:sz w:val="18"/>
              </w:rPr>
              <w:t>Output p@2</w:t>
            </w:r>
          </w:p>
        </w:tc>
      </w:tr>
      <w:tr>
        <w:tc>
          <w:tcPr>
            <w:tcW w:type="dxa" w:w="2736"/>
          </w:tcPr>
          <w:p>
            <w:pPr>
              <w:spacing w:after="40"/>
            </w:pPr>
            <w:r/>
            <w:r>
              <w:rPr>
                <w:b w:val="0"/>
                <w:sz w:val="18"/>
              </w:rPr>
              <w:t>Ordering (length 8)</w:t>
            </w:r>
          </w:p>
        </w:tc>
        <w:tc>
          <w:tcPr>
            <w:tcW w:type="dxa" w:w="2304"/>
          </w:tcPr>
          <w:p>
            <w:pPr>
              <w:spacing w:after="40"/>
            </w:pPr>
            <w:r/>
            <w:r>
              <w:rPr>
                <w:b w:val="0"/>
                <w:sz w:val="18"/>
              </w:rPr>
              <w:t>Short</w:t>
            </w:r>
          </w:p>
        </w:tc>
        <w:tc>
          <w:tcPr>
            <w:tcW w:type="dxa" w:w="2160"/>
          </w:tcPr>
          <w:p>
            <w:pPr>
              <w:spacing w:after="40"/>
            </w:pPr>
            <w:r/>
            <w:r>
              <w:rPr>
                <w:b w:val="0"/>
                <w:sz w:val="18"/>
              </w:rPr>
              <w:t>0/24</w:t>
            </w:r>
          </w:p>
        </w:tc>
        <w:tc>
          <w:tcPr>
            <w:tcW w:type="dxa" w:w="2160"/>
          </w:tcPr>
          <w:p>
            <w:pPr>
              <w:spacing w:after="40"/>
            </w:pPr>
            <w:r/>
            <w:r>
              <w:rPr>
                <w:b w:val="0"/>
                <w:sz w:val="18"/>
              </w:rPr>
              <w:t>0/24</w:t>
            </w:r>
          </w:p>
        </w:tc>
      </w:tr>
      <w:tr>
        <w:tc>
          <w:tcPr>
            <w:tcW w:type="dxa" w:w="2736"/>
            <w:shd w:val="clear" w:color="auto" w:fill="F2F6FA"/>
          </w:tcPr>
          <w:p>
            <w:pPr>
              <w:spacing w:after="40"/>
            </w:pPr>
            <w:r/>
            <w:r>
              <w:rPr>
                <w:b w:val="0"/>
                <w:sz w:val="18"/>
              </w:rPr>
              <w:t>Ordering (length 8)</w:t>
            </w:r>
          </w:p>
        </w:tc>
        <w:tc>
          <w:tcPr>
            <w:tcW w:type="dxa" w:w="2304"/>
            <w:shd w:val="clear" w:color="auto" w:fill="F2F6FA"/>
          </w:tcPr>
          <w:p>
            <w:pPr>
              <w:spacing w:after="40"/>
            </w:pPr>
            <w:r/>
            <w:r>
              <w:rPr>
                <w:b/>
                <w:sz w:val="18"/>
              </w:rPr>
              <w:t>Supported</w:t>
            </w:r>
          </w:p>
        </w:tc>
        <w:tc>
          <w:tcPr>
            <w:tcW w:type="dxa" w:w="2160"/>
            <w:shd w:val="clear" w:color="auto" w:fill="F2F6FA"/>
          </w:tcPr>
          <w:p>
            <w:pPr>
              <w:spacing w:after="40"/>
            </w:pPr>
            <w:r/>
            <w:r>
              <w:rPr>
                <w:b/>
                <w:sz w:val="18"/>
              </w:rPr>
              <w:t>12/24</w:t>
            </w:r>
          </w:p>
        </w:tc>
        <w:tc>
          <w:tcPr>
            <w:tcW w:type="dxa" w:w="2160"/>
            <w:shd w:val="clear" w:color="auto" w:fill="F2F6FA"/>
          </w:tcPr>
          <w:p>
            <w:pPr>
              <w:spacing w:after="40"/>
            </w:pPr>
            <w:r/>
            <w:r>
              <w:rPr>
                <w:b/>
                <w:sz w:val="18"/>
              </w:rPr>
              <w:t>13/24</w:t>
            </w:r>
          </w:p>
        </w:tc>
      </w:tr>
      <w:tr>
        <w:tc>
          <w:tcPr>
            <w:tcW w:type="dxa" w:w="2736"/>
          </w:tcPr>
          <w:p>
            <w:pPr>
              <w:spacing w:after="40"/>
            </w:pPr>
            <w:r/>
            <w:r>
              <w:rPr>
                <w:b w:val="0"/>
                <w:sz w:val="18"/>
              </w:rPr>
              <w:t>Nesting (depth 5)</w:t>
            </w:r>
          </w:p>
        </w:tc>
        <w:tc>
          <w:tcPr>
            <w:tcW w:type="dxa" w:w="2304"/>
          </w:tcPr>
          <w:p>
            <w:pPr>
              <w:spacing w:after="40"/>
            </w:pPr>
            <w:r/>
            <w:r>
              <w:rPr>
                <w:b w:val="0"/>
                <w:sz w:val="18"/>
              </w:rPr>
              <w:t>Short</w:t>
            </w:r>
          </w:p>
        </w:tc>
        <w:tc>
          <w:tcPr>
            <w:tcW w:type="dxa" w:w="2160"/>
          </w:tcPr>
          <w:p>
            <w:pPr>
              <w:spacing w:after="40"/>
            </w:pPr>
            <w:r/>
            <w:r>
              <w:rPr>
                <w:b w:val="0"/>
                <w:sz w:val="18"/>
              </w:rPr>
              <w:t>15/24</w:t>
            </w:r>
          </w:p>
        </w:tc>
        <w:tc>
          <w:tcPr>
            <w:tcW w:type="dxa" w:w="2160"/>
          </w:tcPr>
          <w:p>
            <w:pPr>
              <w:spacing w:after="40"/>
            </w:pPr>
            <w:r/>
            <w:r>
              <w:rPr>
                <w:b w:val="0"/>
                <w:sz w:val="18"/>
              </w:rPr>
              <w:t>19/24</w:t>
            </w:r>
          </w:p>
        </w:tc>
      </w:tr>
      <w:tr>
        <w:tc>
          <w:tcPr>
            <w:tcW w:type="dxa" w:w="2736"/>
            <w:shd w:val="clear" w:color="auto" w:fill="F2F6FA"/>
          </w:tcPr>
          <w:p>
            <w:pPr>
              <w:spacing w:after="40"/>
            </w:pPr>
            <w:r/>
            <w:r>
              <w:rPr>
                <w:b w:val="0"/>
                <w:sz w:val="18"/>
              </w:rPr>
              <w:t>Nesting (depth 5)</w:t>
            </w:r>
          </w:p>
        </w:tc>
        <w:tc>
          <w:tcPr>
            <w:tcW w:type="dxa" w:w="2304"/>
            <w:shd w:val="clear" w:color="auto" w:fill="F2F6FA"/>
          </w:tcPr>
          <w:p>
            <w:pPr>
              <w:spacing w:after="40"/>
            </w:pPr>
            <w:r/>
            <w:r>
              <w:rPr>
                <w:b/>
                <w:sz w:val="18"/>
              </w:rPr>
              <w:t>Supported</w:t>
            </w:r>
          </w:p>
        </w:tc>
        <w:tc>
          <w:tcPr>
            <w:tcW w:type="dxa" w:w="2160"/>
            <w:shd w:val="clear" w:color="auto" w:fill="F2F6FA"/>
          </w:tcPr>
          <w:p>
            <w:pPr>
              <w:spacing w:after="40"/>
            </w:pPr>
            <w:r/>
            <w:r>
              <w:rPr>
                <w:b/>
                <w:sz w:val="18"/>
              </w:rPr>
              <w:t>16/24</w:t>
            </w:r>
          </w:p>
        </w:tc>
        <w:tc>
          <w:tcPr>
            <w:tcW w:type="dxa" w:w="2160"/>
            <w:shd w:val="clear" w:color="auto" w:fill="F2F6FA"/>
          </w:tcPr>
          <w:p>
            <w:pPr>
              <w:spacing w:after="40"/>
            </w:pPr>
            <w:r/>
            <w:r>
              <w:rPr>
                <w:b/>
                <w:sz w:val="18"/>
              </w:rPr>
              <w:t>24/24</w:t>
            </w:r>
          </w:p>
        </w:tc>
      </w:tr>
    </w:tbl>
    <w:p>
      <w:pPr>
        <w:spacing w:after="80"/>
      </w:pPr>
    </w:p>
    <w:p>
      <w:pPr>
        <w:spacing w:after="120"/>
      </w:pPr>
      <w:r>
        <w:rPr>
          <w:b w:val="0"/>
          <w:i w:val="0"/>
        </w:rPr>
        <w:t>One demonstration takes depth-five nesting from 19/24 to a perfect 24/24. The nesting cliff is therefore largely a failure to extrapolate the demonstrated relation depth. Ordering also benefits (0/24 → 13/24) but does not recover fully, which the report attributes to a residual execution bottleneck. That contrast — extrapolation failure versus execution failure, separated by a controlled intervention — is a complete lesson on its own.</w:t>
      </w:r>
    </w:p>
    <w:p>
      <w:pPr>
        <w:pStyle w:val="Heading3"/>
      </w:pPr>
      <w:r>
        <w:rPr>
          <w:b w:val="0"/>
          <w:i w:val="0"/>
        </w:rPr>
        <w:t>Composition is operation-dependent (Section 6.3, Table 4; 72 outputs per condition)</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color="auto" w:fill="1F4E79"/>
          </w:tcPr>
          <w:p>
            <w:r/>
            <w:r>
              <w:rPr>
                <w:b/>
                <w:color w:val="FFFFFF"/>
                <w:sz w:val="18"/>
              </w:rPr>
              <w:t>Operation</w:t>
            </w:r>
          </w:p>
        </w:tc>
        <w:tc>
          <w:tcPr>
            <w:tcW w:type="dxa" w:w="3168"/>
            <w:shd w:val="clear" w:color="auto" w:fill="1F4E79"/>
          </w:tcPr>
          <w:p>
            <w:r/>
            <w:r>
              <w:rPr>
                <w:b/>
                <w:color w:val="FFFFFF"/>
                <w:sz w:val="18"/>
              </w:rPr>
              <w:t>Alone</w:t>
            </w:r>
          </w:p>
        </w:tc>
        <w:tc>
          <w:tcPr>
            <w:tcW w:type="dxa" w:w="3456"/>
            <w:shd w:val="clear" w:color="auto" w:fill="1F4E79"/>
          </w:tcPr>
          <w:p>
            <w:r/>
            <w:r>
              <w:rPr>
                <w:b/>
                <w:color w:val="FFFFFF"/>
                <w:sz w:val="18"/>
              </w:rPr>
              <w:t>Composed with relocation</w:t>
            </w:r>
          </w:p>
        </w:tc>
      </w:tr>
      <w:tr>
        <w:tc>
          <w:tcPr>
            <w:tcW w:type="dxa" w:w="3024"/>
          </w:tcPr>
          <w:p>
            <w:pPr>
              <w:spacing w:after="40"/>
            </w:pPr>
            <w:r/>
            <w:r>
              <w:rPr>
                <w:b w:val="0"/>
                <w:sz w:val="18"/>
              </w:rPr>
              <w:t>Relocation</w:t>
            </w:r>
          </w:p>
        </w:tc>
        <w:tc>
          <w:tcPr>
            <w:tcW w:type="dxa" w:w="3168"/>
          </w:tcPr>
          <w:p>
            <w:pPr>
              <w:spacing w:after="40"/>
            </w:pPr>
            <w:r/>
            <w:r>
              <w:rPr>
                <w:b w:val="0"/>
                <w:sz w:val="18"/>
              </w:rPr>
              <w:t>72/72</w:t>
            </w:r>
          </w:p>
        </w:tc>
        <w:tc>
          <w:tcPr>
            <w:tcW w:type="dxa" w:w="3456"/>
          </w:tcPr>
          <w:p>
            <w:pPr>
              <w:spacing w:after="40"/>
            </w:pPr>
            <w:r/>
            <w:r>
              <w:rPr>
                <w:b w:val="0"/>
                <w:sz w:val="18"/>
              </w:rPr>
              <w:t>n/a (baseline)</w:t>
            </w:r>
          </w:p>
        </w:tc>
      </w:tr>
      <w:tr>
        <w:tc>
          <w:tcPr>
            <w:tcW w:type="dxa" w:w="3024"/>
            <w:shd w:val="clear" w:color="auto" w:fill="F2F6FA"/>
          </w:tcPr>
          <w:p>
            <w:pPr>
              <w:spacing w:after="40"/>
            </w:pPr>
            <w:r/>
            <w:r>
              <w:rPr>
                <w:b w:val="0"/>
                <w:sz w:val="18"/>
              </w:rPr>
              <w:t>Rotation</w:t>
            </w:r>
          </w:p>
        </w:tc>
        <w:tc>
          <w:tcPr>
            <w:tcW w:type="dxa" w:w="3168"/>
            <w:shd w:val="clear" w:color="auto" w:fill="F2F6FA"/>
          </w:tcPr>
          <w:p>
            <w:pPr>
              <w:spacing w:after="40"/>
            </w:pPr>
            <w:r/>
            <w:r>
              <w:rPr>
                <w:b w:val="0"/>
                <w:sz w:val="18"/>
              </w:rPr>
              <w:t>72/72</w:t>
            </w:r>
          </w:p>
        </w:tc>
        <w:tc>
          <w:tcPr>
            <w:tcW w:type="dxa" w:w="3456"/>
            <w:shd w:val="clear" w:color="auto" w:fill="F2F6FA"/>
          </w:tcPr>
          <w:p>
            <w:pPr>
              <w:spacing w:after="40"/>
            </w:pPr>
            <w:r/>
            <w:r>
              <w:rPr>
                <w:b/>
                <w:sz w:val="18"/>
              </w:rPr>
              <w:t>72/72</w:t>
            </w:r>
          </w:p>
        </w:tc>
      </w:tr>
      <w:tr>
        <w:tc>
          <w:tcPr>
            <w:tcW w:type="dxa" w:w="3024"/>
          </w:tcPr>
          <w:p>
            <w:pPr>
              <w:spacing w:after="40"/>
            </w:pPr>
            <w:r/>
            <w:r>
              <w:rPr>
                <w:b w:val="0"/>
                <w:sz w:val="18"/>
              </w:rPr>
              <w:t>Reflection</w:t>
            </w:r>
          </w:p>
        </w:tc>
        <w:tc>
          <w:tcPr>
            <w:tcW w:type="dxa" w:w="3168"/>
          </w:tcPr>
          <w:p>
            <w:pPr>
              <w:spacing w:after="40"/>
            </w:pPr>
            <w:r/>
            <w:r>
              <w:rPr>
                <w:b w:val="0"/>
                <w:sz w:val="18"/>
              </w:rPr>
              <w:t>72/72</w:t>
            </w:r>
          </w:p>
        </w:tc>
        <w:tc>
          <w:tcPr>
            <w:tcW w:type="dxa" w:w="3456"/>
          </w:tcPr>
          <w:p>
            <w:pPr>
              <w:spacing w:after="40"/>
            </w:pPr>
            <w:r/>
            <w:r>
              <w:rPr>
                <w:b w:val="0"/>
                <w:sz w:val="18"/>
              </w:rPr>
              <w:t>47/72</w:t>
            </w:r>
          </w:p>
        </w:tc>
      </w:tr>
      <w:tr>
        <w:tc>
          <w:tcPr>
            <w:tcW w:type="dxa" w:w="3024"/>
            <w:shd w:val="clear" w:color="auto" w:fill="F2F6FA"/>
          </w:tcPr>
          <w:p>
            <w:pPr>
              <w:spacing w:after="40"/>
            </w:pPr>
            <w:r/>
            <w:r>
              <w:rPr>
                <w:b w:val="0"/>
                <w:sz w:val="18"/>
              </w:rPr>
              <w:t>Color swap</w:t>
            </w:r>
          </w:p>
        </w:tc>
        <w:tc>
          <w:tcPr>
            <w:tcW w:type="dxa" w:w="3168"/>
            <w:shd w:val="clear" w:color="auto" w:fill="F2F6FA"/>
          </w:tcPr>
          <w:p>
            <w:pPr>
              <w:spacing w:after="40"/>
            </w:pPr>
            <w:r/>
            <w:r>
              <w:rPr>
                <w:b w:val="0"/>
                <w:sz w:val="18"/>
              </w:rPr>
              <w:t>26/72</w:t>
            </w:r>
          </w:p>
        </w:tc>
        <w:tc>
          <w:tcPr>
            <w:tcW w:type="dxa" w:w="3456"/>
            <w:shd w:val="clear" w:color="auto" w:fill="F2F6FA"/>
          </w:tcPr>
          <w:p>
            <w:pPr>
              <w:spacing w:after="40"/>
            </w:pPr>
            <w:r/>
            <w:r>
              <w:rPr>
                <w:b/>
                <w:sz w:val="18"/>
              </w:rPr>
              <w:t>0/72</w:t>
            </w:r>
          </w:p>
        </w:tc>
      </w:tr>
    </w:tbl>
    <w:p>
      <w:pPr>
        <w:spacing w:after="80"/>
      </w:pPr>
    </w:p>
    <w:p>
      <w:pPr>
        <w:spacing w:after="120"/>
      </w:pPr>
      <w:r>
        <w:rPr>
          <w:b w:val="0"/>
          <w:i w:val="0"/>
        </w:rPr>
        <w:t>Rotation composes perfectly with relocation; reflection composes on most colour layouts but not all; colour swap never composes. Critically, the report is careful here — colour swap is weak atomically too (26/72), so its composed failure cannot be attributed to composition alone. Preserving that caveat in our artefact is exactly the evidence discipline the 10-point BDH criterion is testing for.</w:t>
      </w:r>
    </w:p>
    <w:p>
      <w:pPr>
        <w:pStyle w:val="Heading3"/>
      </w:pPr>
      <w:r>
        <w:rPr>
          <w:b w:val="0"/>
          <w:i w:val="0"/>
        </w:rPr>
        <w:t>Within-task consistency (Section 6.4)</w:t>
      </w:r>
    </w:p>
    <w:p>
      <w:pPr>
        <w:spacing w:after="160"/>
      </w:pPr>
      <w:r>
        <w:rPr>
          <w:b w:val="0"/>
          <w:i w:val="0"/>
        </w:rPr>
        <w:t>On ConceptARC, 52 of 160 tasks have one or two correct test inputs but are not solved as tasks. Under a rule-induction account, a correctly induced rule should transfer to every test input of its task. This partial success is direct evidence that the inferred transformation is not applied consistently — a second, independent angle on the same claim.</w:t>
      </w:r>
    </w:p>
    <w:p>
      <w:pPr>
        <w:pStyle w:val="Heading2"/>
      </w:pPr>
      <w:r>
        <w:rPr>
          <w:b w:val="0"/>
          <w:i w:val="0"/>
        </w:rPr>
        <w:t>4.4  What we actually build</w:t>
      </w:r>
    </w:p>
    <w:p>
      <w:pPr>
        <w:spacing w:after="100"/>
      </w:pPr>
      <w:r>
        <w:rPr>
          <w:b w:val="0"/>
          <w:i w:val="0"/>
        </w:rPr>
        <w:t>A coverage-ladder laboratory. Three components:</w:t>
      </w:r>
    </w:p>
    <w:p>
      <w:pPr>
        <w:pStyle w:val="ListBullet"/>
        <w:spacing w:after="60"/>
      </w:pPr>
      <w:r>
        <w:rPr>
          <w:b/>
          <w:i w:val="0"/>
        </w:rPr>
        <w:t>A live task generator</w:t>
      </w:r>
      <w:r>
        <w:rPr>
          <w:b w:val="0"/>
          <w:i w:val="0"/>
        </w:rPr>
        <w:t xml:space="preserve"> for the four families (propagation, copying, ordering, nesting) with the complexity parameter exposed as a slider. Pathway’s own arc-task-gen is MIT-licensed and can seed the distribution.</w:t>
      </w:r>
    </w:p>
    <w:p>
      <w:pPr>
        <w:pStyle w:val="ListBullet"/>
        <w:spacing w:after="60"/>
      </w:pPr>
      <w:r>
        <w:rPr>
          <w:b/>
          <w:i w:val="0"/>
        </w:rPr>
        <w:t>A small rule-learner the learner can actually run</w:t>
      </w:r>
      <w:r>
        <w:rPr>
          <w:b w:val="0"/>
          <w:i w:val="0"/>
        </w:rPr>
        <w:t xml:space="preserve"> on the same ladder — a compact transductive model or program-synthesis baseline we train ourselves. This is the live substrate, and it is ours end-to-end.</w:t>
      </w:r>
    </w:p>
    <w:p>
      <w:pPr>
        <w:pStyle w:val="ListBullet"/>
        <w:spacing w:after="60"/>
      </w:pPr>
      <w:r>
        <w:rPr>
          <w:b/>
          <w:i w:val="0"/>
        </w:rPr>
        <w:t>BDH-CQ’s published curve pinned beside it</w:t>
      </w:r>
      <w:r>
        <w:rPr>
          <w:b w:val="0"/>
          <w:i w:val="0"/>
        </w:rPr>
        <w:t>, clearly labelled as precomputed published results, with the support/short intervention reproducible on our own model in one click.</w:t>
      </w:r>
    </w:p>
    <w:p>
      <w:pPr>
        <w:spacing w:after="160"/>
      </w:pPr>
      <w:r>
        <w:rPr>
          <w:b w:val="0"/>
          <w:i w:val="0"/>
        </w:rPr>
        <w:t>The learner drags the complexity slider past the demonstrated range and watches their own model fall off its own cliff — then adds one supporting demonstration and watches it recover. Sixty seconds, reproducible, falsifiable.</w:t>
      </w:r>
    </w:p>
    <w:p>
      <w:pPr>
        <w:pStyle w:val="Heading2"/>
      </w:pPr>
      <w:r>
        <w:rPr>
          <w:b w:val="0"/>
          <w:i w:val="0"/>
        </w:rPr>
        <w:t>4.5  Risks and mitigations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18"/>
              </w:rPr>
              <w:t>Risk</w:t>
            </w:r>
          </w:p>
        </w:tc>
        <w:tc>
          <w:tcPr>
            <w:tcW w:type="dxa" w:w="5328"/>
            <w:shd w:val="clear" w:color="auto" w:fill="1F4E79"/>
          </w:tcPr>
          <w:p>
            <w:r/>
            <w:r>
              <w:rPr>
                <w:b/>
                <w:color w:val="FFFFFF"/>
                <w:sz w:val="18"/>
              </w:rPr>
              <w:t>Mitigation</w:t>
            </w:r>
          </w:p>
        </w:tc>
      </w:tr>
      <w:tr>
        <w:tc>
          <w:tcPr>
            <w:tcW w:type="dxa" w:w="4320"/>
          </w:tcPr>
          <w:p>
            <w:pPr>
              <w:spacing w:after="40"/>
            </w:pPr>
            <w:r/>
            <w:r>
              <w:rPr>
                <w:b w:val="0"/>
                <w:sz w:val="18"/>
              </w:rPr>
              <w:t xml:space="preserve">BDH-CQ has </w:t>
            </w:r>
            <w:r>
              <w:rPr>
                <w:b/>
                <w:sz w:val="18"/>
              </w:rPr>
              <w:t>no public weights, code, or checkpoints</w:t>
            </w:r>
            <w:r>
              <w:rPr>
                <w:b w:val="0"/>
                <w:sz w:val="18"/>
              </w:rPr>
              <w:t>. That half of the artefact is entirely precomputed.</w:t>
            </w:r>
          </w:p>
        </w:tc>
        <w:tc>
          <w:tcPr>
            <w:tcW w:type="dxa" w:w="5328"/>
          </w:tcPr>
          <w:p>
            <w:pPr>
              <w:spacing w:after="40"/>
            </w:pPr>
            <w:r/>
            <w:r>
              <w:rPr>
                <w:b w:val="0"/>
                <w:sz w:val="18"/>
              </w:rPr>
              <w:t>Unavoidable and permitted — the PS explicitly allows this. Turn it into a strength by labelling evidence levels rigorously; that is 10 points of rubric.</w:t>
            </w:r>
          </w:p>
        </w:tc>
      </w:tr>
      <w:tr>
        <w:tc>
          <w:tcPr>
            <w:tcW w:type="dxa" w:w="4320"/>
            <w:shd w:val="clear" w:color="auto" w:fill="F2F6FA"/>
          </w:tcPr>
          <w:p>
            <w:pPr>
              <w:spacing w:after="40"/>
            </w:pPr>
            <w:r/>
            <w:r>
              <w:rPr>
                <w:b w:val="0"/>
                <w:sz w:val="18"/>
              </w:rPr>
              <w:t xml:space="preserve">Judges may read it as </w:t>
            </w:r>
            <w:r>
              <w:rPr>
                <w:b/>
                <w:sz w:val="18"/>
              </w:rPr>
              <w:t>"a benchmark, not an explainer."</w:t>
            </w:r>
          </w:p>
        </w:tc>
        <w:tc>
          <w:tcPr>
            <w:tcW w:type="dxa" w:w="5328"/>
            <w:shd w:val="clear" w:color="auto" w:fill="F2F6FA"/>
          </w:tcPr>
          <w:p>
            <w:pPr>
              <w:spacing w:after="40"/>
            </w:pPr>
            <w:r/>
            <w:r>
              <w:rPr>
                <w:b w:val="0"/>
                <w:sz w:val="18"/>
              </w:rPr>
              <w:t>Lead with the guided narrative and the one-minute reproducible moment; the generator is the substrate underneath, not the pitch.</w:t>
            </w:r>
          </w:p>
        </w:tc>
      </w:tr>
      <w:tr>
        <w:tc>
          <w:tcPr>
            <w:tcW w:type="dxa" w:w="4320"/>
          </w:tcPr>
          <w:p>
            <w:pPr>
              <w:spacing w:after="40"/>
            </w:pPr>
            <w:r/>
            <w:r>
              <w:rPr>
                <w:b w:val="0"/>
                <w:sz w:val="18"/>
              </w:rPr>
              <w:t xml:space="preserve">Our own model is </w:t>
            </w:r>
            <w:r>
              <w:rPr>
                <w:b/>
                <w:sz w:val="18"/>
              </w:rPr>
              <w:t>not BDH</w:t>
            </w:r>
            <w:r>
              <w:rPr>
                <w:b w:val="0"/>
                <w:sz w:val="18"/>
              </w:rPr>
              <w:t>, inviting a category confusion.</w:t>
            </w:r>
          </w:p>
        </w:tc>
        <w:tc>
          <w:tcPr>
            <w:tcW w:type="dxa" w:w="5328"/>
          </w:tcPr>
          <w:p>
            <w:pPr>
              <w:spacing w:after="40"/>
            </w:pPr>
            <w:r/>
            <w:r>
              <w:rPr>
                <w:b w:val="0"/>
                <w:sz w:val="18"/>
              </w:rPr>
              <w:t>The comparison is the point, and must be framed that way explicitly: we are testing whether *any* in-context learner shows the coverage cliff, with BDH-CQ as the published reference curve.</w:t>
            </w:r>
          </w:p>
        </w:tc>
      </w:tr>
    </w:tbl>
    <w:p>
      <w:pPr>
        <w:spacing w:after="80"/>
      </w:pPr>
    </w:p>
    <w:p>
      <w:r>
        <w:br w:type="page"/>
      </w:r>
    </w:p>
    <w:p>
      <w:pPr>
        <w:pStyle w:val="Heading1"/>
      </w:pPr>
      <w:r>
        <w:rPr>
          <w:b w:val="0"/>
          <w:i w:val="0"/>
        </w:rPr>
        <w:t>5.  Relevance to the problem statement</w:t>
      </w:r>
    </w:p>
    <w:p>
      <w:pPr>
        <w:pStyle w:val="Heading2"/>
      </w:pPr>
      <w:r>
        <w:rPr>
          <w:b w:val="0"/>
          <w:i w:val="0"/>
        </w:rPr>
        <w:t>5.1  Against the seven mission requirements</w:t>
      </w:r>
    </w:p>
    <w:p>
      <w:pPr>
        <w:spacing w:after="100"/>
      </w:pPr>
      <w:r>
        <w:rPr>
          <w:b w:val="0"/>
          <w:i w:val="0"/>
        </w:rPr>
        <w:t>The PS requires that a learner be able to do all seven of the following. Both options are checked against each.</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1F4E79"/>
          </w:tcPr>
          <w:p>
            <w:r/>
            <w:r>
              <w:rPr>
                <w:b/>
                <w:color w:val="FFFFFF"/>
                <w:sz w:val="17"/>
              </w:rPr>
              <w:t>PS requirement</w:t>
            </w:r>
          </w:p>
        </w:tc>
        <w:tc>
          <w:tcPr>
            <w:tcW w:type="dxa" w:w="3600"/>
            <w:shd w:val="clear" w:color="auto" w:fill="1F4E79"/>
          </w:tcPr>
          <w:p>
            <w:r/>
            <w:r>
              <w:rPr>
                <w:b/>
                <w:color w:val="FFFFFF"/>
                <w:sz w:val="17"/>
              </w:rPr>
              <w:t>Option A — Model Surgery</w:t>
            </w:r>
          </w:p>
        </w:tc>
        <w:tc>
          <w:tcPr>
            <w:tcW w:type="dxa" w:w="3312"/>
            <w:shd w:val="clear" w:color="auto" w:fill="1F4E79"/>
          </w:tcPr>
          <w:p>
            <w:r/>
            <w:r>
              <w:rPr>
                <w:b/>
                <w:color w:val="FFFFFF"/>
                <w:sz w:val="17"/>
              </w:rPr>
              <w:t>Option B — Coverage Cliff</w:t>
            </w:r>
          </w:p>
        </w:tc>
      </w:tr>
      <w:tr>
        <w:tc>
          <w:tcPr>
            <w:tcW w:type="dxa" w:w="2736"/>
          </w:tcPr>
          <w:p>
            <w:pPr>
              <w:spacing w:after="40"/>
            </w:pPr>
            <w:r/>
            <w:r>
              <w:rPr>
                <w:b w:val="0"/>
                <w:sz w:val="17"/>
              </w:rPr>
              <w:t>Understand one precise technical claim</w:t>
            </w:r>
          </w:p>
        </w:tc>
        <w:tc>
          <w:tcPr>
            <w:tcW w:type="dxa" w:w="3600"/>
          </w:tcPr>
          <w:p>
            <w:pPr>
              <w:spacing w:after="40"/>
            </w:pPr>
            <w:r/>
            <w:r>
              <w:rPr>
                <w:b w:val="0"/>
                <w:sz w:val="17"/>
              </w:rPr>
              <w:t>Concatenation along n yields a valid model without retraining.</w:t>
            </w:r>
          </w:p>
        </w:tc>
        <w:tc>
          <w:tcPr>
            <w:tcW w:type="dxa" w:w="3312"/>
          </w:tcPr>
          <w:p>
            <w:pPr>
              <w:spacing w:after="40"/>
            </w:pPr>
            <w:r/>
            <w:r>
              <w:rPr>
                <w:b w:val="0"/>
                <w:sz w:val="17"/>
              </w:rPr>
              <w:t>Rule application saturates at demonstrated complexity.</w:t>
            </w:r>
          </w:p>
        </w:tc>
      </w:tr>
      <w:tr>
        <w:tc>
          <w:tcPr>
            <w:tcW w:type="dxa" w:w="2736"/>
            <w:shd w:val="clear" w:color="auto" w:fill="F2F6FA"/>
          </w:tcPr>
          <w:p>
            <w:pPr>
              <w:spacing w:after="40"/>
            </w:pPr>
            <w:r/>
            <w:r>
              <w:rPr>
                <w:b w:val="0"/>
                <w:sz w:val="17"/>
              </w:rPr>
              <w:t>Manipulate a real concept variable</w:t>
            </w:r>
          </w:p>
        </w:tc>
        <w:tc>
          <w:tcPr>
            <w:tcW w:type="dxa" w:w="3600"/>
            <w:shd w:val="clear" w:color="auto" w:fill="F2F6FA"/>
          </w:tcPr>
          <w:p>
            <w:pPr>
              <w:spacing w:after="40"/>
            </w:pPr>
            <w:r/>
            <w:r>
              <w:rPr>
                <w:b w:val="0"/>
                <w:sz w:val="17"/>
              </w:rPr>
              <w:t>Merge rule, parent overlap, neuron-slice ablation.</w:t>
            </w:r>
          </w:p>
        </w:tc>
        <w:tc>
          <w:tcPr>
            <w:tcW w:type="dxa" w:w="3312"/>
            <w:shd w:val="clear" w:color="auto" w:fill="F2F6FA"/>
          </w:tcPr>
          <w:p>
            <w:pPr>
              <w:spacing w:after="40"/>
            </w:pPr>
            <w:r/>
            <w:r>
              <w:rPr>
                <w:b w:val="0"/>
                <w:sz w:val="17"/>
              </w:rPr>
              <w:t>Complexity level; presence of a supporting demonstration.</w:t>
            </w:r>
          </w:p>
        </w:tc>
      </w:tr>
      <w:tr>
        <w:tc>
          <w:tcPr>
            <w:tcW w:type="dxa" w:w="2736"/>
          </w:tcPr>
          <w:p>
            <w:pPr>
              <w:spacing w:after="40"/>
            </w:pPr>
            <w:r/>
            <w:r>
              <w:rPr>
                <w:b w:val="0"/>
                <w:sz w:val="17"/>
              </w:rPr>
              <w:t>Observe an immediate, meaningful consequence</w:t>
            </w:r>
          </w:p>
        </w:tc>
        <w:tc>
          <w:tcPr>
            <w:tcW w:type="dxa" w:w="3600"/>
          </w:tcPr>
          <w:p>
            <w:pPr>
              <w:spacing w:after="40"/>
            </w:pPr>
            <w:r/>
            <w:r>
              <w:rPr>
                <w:b w:val="0"/>
                <w:sz w:val="17"/>
              </w:rPr>
              <w:t>Generation quality shifts live; the language-mixing failure appears.</w:t>
            </w:r>
          </w:p>
        </w:tc>
        <w:tc>
          <w:tcPr>
            <w:tcW w:type="dxa" w:w="3312"/>
          </w:tcPr>
          <w:p>
            <w:pPr>
              <w:spacing w:after="40"/>
            </w:pPr>
            <w:r/>
            <w:r>
              <w:rPr>
                <w:b w:val="0"/>
                <w:sz w:val="17"/>
              </w:rPr>
              <w:t>The accuracy curve falls off its cliff, then recovers.</w:t>
            </w:r>
          </w:p>
        </w:tc>
      </w:tr>
      <w:tr>
        <w:tc>
          <w:tcPr>
            <w:tcW w:type="dxa" w:w="2736"/>
            <w:shd w:val="clear" w:color="auto" w:fill="F2F6FA"/>
          </w:tcPr>
          <w:p>
            <w:pPr>
              <w:spacing w:after="40"/>
            </w:pPr>
            <w:r/>
            <w:r>
              <w:rPr>
                <w:b w:val="0"/>
                <w:sz w:val="17"/>
              </w:rPr>
              <w:t>Compare output with ground truth or reference</w:t>
            </w:r>
          </w:p>
        </w:tc>
        <w:tc>
          <w:tcPr>
            <w:tcW w:type="dxa" w:w="3600"/>
            <w:shd w:val="clear" w:color="auto" w:fill="F2F6FA"/>
          </w:tcPr>
          <w:p>
            <w:pPr>
              <w:spacing w:after="40"/>
            </w:pPr>
            <w:r/>
            <w:r>
              <w:rPr>
                <w:b w:val="0"/>
                <w:sz w:val="17"/>
              </w:rPr>
              <w:t>Merged output shown beside both parents and the oracle target.</w:t>
            </w:r>
          </w:p>
        </w:tc>
        <w:tc>
          <w:tcPr>
            <w:tcW w:type="dxa" w:w="3312"/>
            <w:shd w:val="clear" w:color="auto" w:fill="F2F6FA"/>
          </w:tcPr>
          <w:p>
            <w:pPr>
              <w:spacing w:after="40"/>
            </w:pPr>
            <w:r/>
            <w:r>
              <w:rPr>
                <w:b w:val="0"/>
                <w:sz w:val="17"/>
              </w:rPr>
              <w:t>Learner’s model curve shown beside BDH-CQ’s published curve.</w:t>
            </w:r>
          </w:p>
        </w:tc>
      </w:tr>
      <w:tr>
        <w:tc>
          <w:tcPr>
            <w:tcW w:type="dxa" w:w="2736"/>
          </w:tcPr>
          <w:p>
            <w:pPr>
              <w:spacing w:after="40"/>
            </w:pPr>
            <w:r/>
            <w:r>
              <w:rPr>
                <w:b w:val="0"/>
                <w:sz w:val="17"/>
              </w:rPr>
              <w:t>Explain the concept back</w:t>
            </w:r>
          </w:p>
        </w:tc>
        <w:tc>
          <w:tcPr>
            <w:tcW w:type="dxa" w:w="3600"/>
          </w:tcPr>
          <w:p>
            <w:pPr>
              <w:spacing w:after="40"/>
            </w:pPr>
            <w:r/>
            <w:r>
              <w:rPr>
                <w:b w:val="0"/>
                <w:sz w:val="17"/>
              </w:rPr>
              <w:t>Why one uniform dimension permits surgery no Transformer allows.</w:t>
            </w:r>
          </w:p>
        </w:tc>
        <w:tc>
          <w:tcPr>
            <w:tcW w:type="dxa" w:w="3312"/>
          </w:tcPr>
          <w:p>
            <w:pPr>
              <w:spacing w:after="40"/>
            </w:pPr>
            <w:r/>
            <w:r>
              <w:rPr>
                <w:b w:val="0"/>
                <w:sz w:val="17"/>
              </w:rPr>
              <w:t>Why coverage, not capability, bounds generalisation here.</w:t>
            </w:r>
          </w:p>
        </w:tc>
      </w:tr>
      <w:tr>
        <w:tc>
          <w:tcPr>
            <w:tcW w:type="dxa" w:w="2736"/>
            <w:shd w:val="clear" w:color="auto" w:fill="F2F6FA"/>
          </w:tcPr>
          <w:p>
            <w:pPr>
              <w:spacing w:after="40"/>
            </w:pPr>
            <w:r/>
            <w:r>
              <w:rPr>
                <w:b w:val="0"/>
                <w:sz w:val="17"/>
              </w:rPr>
              <w:t>Locate the concept in BDH / BDH-CQ</w:t>
            </w:r>
          </w:p>
        </w:tc>
        <w:tc>
          <w:tcPr>
            <w:tcW w:type="dxa" w:w="3600"/>
            <w:shd w:val="clear" w:color="auto" w:fill="F2F6FA"/>
          </w:tcPr>
          <w:p>
            <w:pPr>
              <w:spacing w:after="40"/>
            </w:pPr>
            <w:r/>
            <w:r>
              <w:rPr>
                <w:b w:val="0"/>
                <w:sz w:val="17"/>
              </w:rPr>
              <w:t xml:space="preserve">It </w:t>
            </w:r>
            <w:r>
              <w:rPr>
                <w:b/>
                <w:sz w:val="17"/>
              </w:rPr>
              <w:t>is</w:t>
            </w:r>
            <w:r>
              <w:rPr>
                <w:b w:val="0"/>
                <w:sz w:val="17"/>
              </w:rPr>
              <w:t xml:space="preserve"> a BDH result (§7.1). Native, not bolted on.</w:t>
            </w:r>
          </w:p>
        </w:tc>
        <w:tc>
          <w:tcPr>
            <w:tcW w:type="dxa" w:w="3312"/>
            <w:shd w:val="clear" w:color="auto" w:fill="F2F6FA"/>
          </w:tcPr>
          <w:p>
            <w:pPr>
              <w:spacing w:after="40"/>
            </w:pPr>
            <w:r/>
            <w:r>
              <w:rPr>
                <w:b w:val="0"/>
                <w:sz w:val="17"/>
              </w:rPr>
              <w:t xml:space="preserve">It </w:t>
            </w:r>
            <w:r>
              <w:rPr>
                <w:b/>
                <w:sz w:val="17"/>
              </w:rPr>
              <w:t>is</w:t>
            </w:r>
            <w:r>
              <w:rPr>
                <w:b w:val="0"/>
                <w:sz w:val="17"/>
              </w:rPr>
              <w:t xml:space="preserve"> a BDH-CQ result (§6.2–6.3). Native, not bolted on.</w:t>
            </w:r>
          </w:p>
        </w:tc>
      </w:tr>
      <w:tr>
        <w:tc>
          <w:tcPr>
            <w:tcW w:type="dxa" w:w="2736"/>
          </w:tcPr>
          <w:p>
            <w:pPr>
              <w:spacing w:after="40"/>
            </w:pPr>
            <w:r/>
            <w:r>
              <w:rPr>
                <w:b w:val="0"/>
                <w:sz w:val="17"/>
              </w:rPr>
              <w:t>Recognise a limitation or failure case</w:t>
            </w:r>
          </w:p>
        </w:tc>
        <w:tc>
          <w:tcPr>
            <w:tcW w:type="dxa" w:w="3600"/>
          </w:tcPr>
          <w:p>
            <w:pPr>
              <w:spacing w:after="40"/>
            </w:pPr>
            <w:r/>
            <w:r>
              <w:rPr>
                <w:b w:val="0"/>
                <w:sz w:val="17"/>
              </w:rPr>
              <w:t>The merged model mixes languages — published and reproduced.</w:t>
            </w:r>
          </w:p>
        </w:tc>
        <w:tc>
          <w:tcPr>
            <w:tcW w:type="dxa" w:w="3312"/>
          </w:tcPr>
          <w:p>
            <w:pPr>
              <w:spacing w:after="40"/>
            </w:pPr>
            <w:r/>
            <w:r>
              <w:rPr>
                <w:b w:val="0"/>
                <w:sz w:val="17"/>
              </w:rPr>
              <w:t>Colour swap never composes; the atomic-weakness caveat is preserved.</w:t>
            </w:r>
          </w:p>
        </w:tc>
      </w:tr>
    </w:tbl>
    <w:p>
      <w:pPr>
        <w:spacing w:after="80"/>
      </w:pPr>
    </w:p>
    <w:p>
      <w:pPr>
        <w:pStyle w:val="Heading2"/>
      </w:pPr>
      <w:r>
        <w:rPr>
          <w:b w:val="0"/>
          <w:i w:val="0"/>
        </w:rPr>
        <w:t>5.2  Against the 100-point rubric</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E79"/>
          </w:tcPr>
          <w:p>
            <w:r/>
            <w:r>
              <w:rPr>
                <w:b/>
                <w:color w:val="FFFFFF"/>
                <w:sz w:val="17"/>
              </w:rPr>
              <w:t>Criterion (pts)</w:t>
            </w:r>
          </w:p>
        </w:tc>
        <w:tc>
          <w:tcPr>
            <w:tcW w:type="dxa" w:w="3600"/>
            <w:shd w:val="clear" w:color="auto" w:fill="1F4E79"/>
          </w:tcPr>
          <w:p>
            <w:r/>
            <w:r>
              <w:rPr>
                <w:b/>
                <w:color w:val="FFFFFF"/>
                <w:sz w:val="17"/>
              </w:rPr>
              <w:t>Option A</w:t>
            </w:r>
          </w:p>
        </w:tc>
        <w:tc>
          <w:tcPr>
            <w:tcW w:type="dxa" w:w="3456"/>
            <w:shd w:val="clear" w:color="auto" w:fill="1F4E79"/>
          </w:tcPr>
          <w:p>
            <w:r/>
            <w:r>
              <w:rPr>
                <w:b/>
                <w:color w:val="FFFFFF"/>
                <w:sz w:val="17"/>
              </w:rPr>
              <w:t>Option B</w:t>
            </w:r>
          </w:p>
        </w:tc>
      </w:tr>
      <w:tr>
        <w:tc>
          <w:tcPr>
            <w:tcW w:type="dxa" w:w="2592"/>
          </w:tcPr>
          <w:p>
            <w:pPr>
              <w:spacing w:after="40"/>
            </w:pPr>
            <w:r/>
            <w:r>
              <w:rPr>
                <w:b w:val="0"/>
                <w:sz w:val="17"/>
              </w:rPr>
              <w:t>Technical correctness &amp; depth (25)</w:t>
            </w:r>
          </w:p>
        </w:tc>
        <w:tc>
          <w:tcPr>
            <w:tcW w:type="dxa" w:w="3600"/>
          </w:tcPr>
          <w:p>
            <w:pPr>
              <w:spacing w:after="40"/>
            </w:pPr>
            <w:r/>
            <w:r>
              <w:rPr>
                <w:b w:val="0"/>
                <w:sz w:val="17"/>
              </w:rPr>
              <w:t>Strong — one published result, reproduced at small scale, precisely specified.</w:t>
            </w:r>
          </w:p>
        </w:tc>
        <w:tc>
          <w:tcPr>
            <w:tcW w:type="dxa" w:w="3456"/>
          </w:tcPr>
          <w:p>
            <w:pPr>
              <w:spacing w:after="40"/>
            </w:pPr>
            <w:r/>
            <w:r>
              <w:rPr>
                <w:b w:val="0"/>
                <w:sz w:val="17"/>
              </w:rPr>
              <w:t>Strong — the richest quantitative material in the corpus, but all of it is quoted rather than reproduced.</w:t>
            </w:r>
          </w:p>
        </w:tc>
      </w:tr>
      <w:tr>
        <w:tc>
          <w:tcPr>
            <w:tcW w:type="dxa" w:w="2592"/>
            <w:shd w:val="clear" w:color="auto" w:fill="F2F6FA"/>
          </w:tcPr>
          <w:p>
            <w:pPr>
              <w:spacing w:after="40"/>
            </w:pPr>
            <w:r/>
            <w:r>
              <w:rPr>
                <w:b w:val="0"/>
                <w:sz w:val="17"/>
              </w:rPr>
              <w:t>Technical ownership &amp; live defence (15)</w:t>
            </w:r>
          </w:p>
        </w:tc>
        <w:tc>
          <w:tcPr>
            <w:tcW w:type="dxa" w:w="3600"/>
            <w:shd w:val="clear" w:color="auto" w:fill="F2F6FA"/>
          </w:tcPr>
          <w:p>
            <w:pPr>
              <w:spacing w:after="40"/>
            </w:pPr>
            <w:r/>
            <w:r>
              <w:rPr>
                <w:b/>
                <w:sz w:val="17"/>
              </w:rPr>
              <w:t>Strongest.</w:t>
            </w:r>
            <w:r>
              <w:rPr>
                <w:b w:val="0"/>
                <w:sz w:val="17"/>
              </w:rPr>
              <w:t xml:space="preserve"> We trained the models and wrote the forward pass; every number is ours to predict.</w:t>
            </w:r>
          </w:p>
        </w:tc>
        <w:tc>
          <w:tcPr>
            <w:tcW w:type="dxa" w:w="3456"/>
            <w:shd w:val="clear" w:color="auto" w:fill="F2F6FA"/>
          </w:tcPr>
          <w:p>
            <w:pPr>
              <w:spacing w:after="40"/>
            </w:pPr>
            <w:r/>
            <w:r>
              <w:rPr>
                <w:b w:val="0"/>
                <w:sz w:val="17"/>
              </w:rPr>
              <w:t>Weaker on the BDH-CQ half — we cannot trace a system we cannot run.</w:t>
            </w:r>
          </w:p>
        </w:tc>
      </w:tr>
      <w:tr>
        <w:tc>
          <w:tcPr>
            <w:tcW w:type="dxa" w:w="2592"/>
          </w:tcPr>
          <w:p>
            <w:pPr>
              <w:spacing w:after="40"/>
            </w:pPr>
            <w:r/>
            <w:r>
              <w:rPr>
                <w:b w:val="0"/>
                <w:sz w:val="17"/>
              </w:rPr>
              <w:t>Learning effectiveness (15)</w:t>
            </w:r>
          </w:p>
        </w:tc>
        <w:tc>
          <w:tcPr>
            <w:tcW w:type="dxa" w:w="3600"/>
          </w:tcPr>
          <w:p>
            <w:pPr>
              <w:spacing w:after="40"/>
            </w:pPr>
            <w:r/>
            <w:r>
              <w:rPr>
                <w:b w:val="0"/>
                <w:sz w:val="17"/>
              </w:rPr>
              <w:t>Strong — one toggle carries the whole lesson.</w:t>
            </w:r>
          </w:p>
        </w:tc>
        <w:tc>
          <w:tcPr>
            <w:tcW w:type="dxa" w:w="3456"/>
          </w:tcPr>
          <w:p>
            <w:pPr>
              <w:spacing w:after="40"/>
            </w:pPr>
            <w:r/>
            <w:r>
              <w:rPr>
                <w:b/>
                <w:sz w:val="17"/>
              </w:rPr>
              <w:t>Strongest</w:t>
            </w:r>
            <w:r>
              <w:rPr>
                <w:b w:val="0"/>
                <w:sz w:val="17"/>
              </w:rPr>
              <w:t xml:space="preserve"> — the cliff-then-recovery arc is an unusually clean narrative.</w:t>
            </w:r>
          </w:p>
        </w:tc>
      </w:tr>
      <w:tr>
        <w:tc>
          <w:tcPr>
            <w:tcW w:type="dxa" w:w="2592"/>
            <w:shd w:val="clear" w:color="auto" w:fill="F2F6FA"/>
          </w:tcPr>
          <w:p>
            <w:pPr>
              <w:spacing w:after="40"/>
            </w:pPr>
            <w:r/>
            <w:r>
              <w:rPr>
                <w:b w:val="0"/>
                <w:sz w:val="17"/>
              </w:rPr>
              <w:t>Interactive substrate &amp; honesty (15)</w:t>
            </w:r>
          </w:p>
        </w:tc>
        <w:tc>
          <w:tcPr>
            <w:tcW w:type="dxa" w:w="3600"/>
            <w:shd w:val="clear" w:color="auto" w:fill="F2F6FA"/>
          </w:tcPr>
          <w:p>
            <w:pPr>
              <w:spacing w:after="40"/>
            </w:pPr>
            <w:r/>
            <w:r>
              <w:rPr>
                <w:b/>
                <w:sz w:val="17"/>
              </w:rPr>
              <w:t>Strongest</w:t>
            </w:r>
            <w:r>
              <w:rPr>
                <w:b w:val="0"/>
                <w:sz w:val="17"/>
              </w:rPr>
              <w:t xml:space="preserve"> — a real model computing live, in-browser, sub-second.</w:t>
            </w:r>
          </w:p>
        </w:tc>
        <w:tc>
          <w:tcPr>
            <w:tcW w:type="dxa" w:w="3456"/>
            <w:shd w:val="clear" w:color="auto" w:fill="F2F6FA"/>
          </w:tcPr>
          <w:p>
            <w:pPr>
              <w:spacing w:after="40"/>
            </w:pPr>
            <w:r/>
            <w:r>
              <w:rPr>
                <w:b w:val="0"/>
                <w:sz w:val="17"/>
              </w:rPr>
              <w:t>Strong — the generator and our own learner are live; the reference curve is not.</w:t>
            </w:r>
          </w:p>
        </w:tc>
      </w:tr>
      <w:tr>
        <w:tc>
          <w:tcPr>
            <w:tcW w:type="dxa" w:w="2592"/>
          </w:tcPr>
          <w:p>
            <w:pPr>
              <w:spacing w:after="40"/>
            </w:pPr>
            <w:r/>
            <w:r>
              <w:rPr>
                <w:b w:val="0"/>
                <w:sz w:val="17"/>
              </w:rPr>
              <w:t>BDH / BDH-CQ integration &amp; evidence discipline (10)</w:t>
            </w:r>
          </w:p>
        </w:tc>
        <w:tc>
          <w:tcPr>
            <w:tcW w:type="dxa" w:w="3600"/>
          </w:tcPr>
          <w:p>
            <w:pPr>
              <w:spacing w:after="40"/>
            </w:pPr>
            <w:r/>
            <w:r>
              <w:rPr>
                <w:b w:val="0"/>
                <w:sz w:val="17"/>
              </w:rPr>
              <w:t>Native to BDH. Evidence is a mix of published table and our own labelled replication.</w:t>
            </w:r>
          </w:p>
        </w:tc>
        <w:tc>
          <w:tcPr>
            <w:tcW w:type="dxa" w:w="3456"/>
          </w:tcPr>
          <w:p>
            <w:pPr>
              <w:spacing w:after="40"/>
            </w:pPr>
            <w:r/>
            <w:r>
              <w:rPr>
                <w:b/>
                <w:sz w:val="17"/>
              </w:rPr>
              <w:t>Strongest</w:t>
            </w:r>
            <w:r>
              <w:rPr>
                <w:b w:val="0"/>
                <w:sz w:val="17"/>
              </w:rPr>
              <w:t xml:space="preserve"> — the report’s own caveats give us a great deal to be disciplined about.</w:t>
            </w:r>
          </w:p>
        </w:tc>
      </w:tr>
      <w:tr>
        <w:tc>
          <w:tcPr>
            <w:tcW w:type="dxa" w:w="2592"/>
            <w:shd w:val="clear" w:color="auto" w:fill="F2F6FA"/>
          </w:tcPr>
          <w:p>
            <w:pPr>
              <w:spacing w:after="40"/>
            </w:pPr>
            <w:r/>
            <w:r>
              <w:rPr>
                <w:b w:val="0"/>
                <w:sz w:val="17"/>
              </w:rPr>
              <w:t>Craft, robustness, accessibility, provenance (10)</w:t>
            </w:r>
          </w:p>
        </w:tc>
        <w:tc>
          <w:tcPr>
            <w:tcW w:type="dxa" w:w="3600"/>
            <w:shd w:val="clear" w:color="auto" w:fill="F2F6FA"/>
          </w:tcPr>
          <w:p>
            <w:pPr>
              <w:spacing w:after="40"/>
            </w:pPr>
            <w:r/>
            <w:r>
              <w:rPr>
                <w:b w:val="0"/>
                <w:sz w:val="17"/>
              </w:rPr>
              <w:t>Equal — determined by execution, not by choice of topic.</w:t>
            </w:r>
          </w:p>
        </w:tc>
        <w:tc>
          <w:tcPr>
            <w:tcW w:type="dxa" w:w="3456"/>
            <w:shd w:val="clear" w:color="auto" w:fill="F2F6FA"/>
          </w:tcPr>
          <w:p>
            <w:pPr>
              <w:spacing w:after="40"/>
            </w:pPr>
            <w:r/>
            <w:r>
              <w:rPr>
                <w:b w:val="0"/>
                <w:sz w:val="17"/>
              </w:rPr>
              <w:t>Equal — same.</w:t>
            </w:r>
          </w:p>
        </w:tc>
      </w:tr>
      <w:tr>
        <w:tc>
          <w:tcPr>
            <w:tcW w:type="dxa" w:w="2592"/>
          </w:tcPr>
          <w:p>
            <w:pPr>
              <w:spacing w:after="40"/>
            </w:pPr>
            <w:r/>
            <w:r>
              <w:rPr>
                <w:b w:val="0"/>
                <w:sz w:val="17"/>
              </w:rPr>
              <w:t>One-page concept summary (10)</w:t>
            </w:r>
          </w:p>
        </w:tc>
        <w:tc>
          <w:tcPr>
            <w:tcW w:type="dxa" w:w="3600"/>
          </w:tcPr>
          <w:p>
            <w:pPr>
              <w:spacing w:after="40"/>
            </w:pPr>
            <w:r/>
            <w:r>
              <w:rPr>
                <w:b w:val="0"/>
                <w:sz w:val="17"/>
              </w:rPr>
              <w:t>Good — composability and parametric memory are a clean story.</w:t>
            </w:r>
          </w:p>
        </w:tc>
        <w:tc>
          <w:tcPr>
            <w:tcW w:type="dxa" w:w="3456"/>
          </w:tcPr>
          <w:p>
            <w:pPr>
              <w:spacing w:after="40"/>
            </w:pPr>
            <w:r/>
            <w:r>
              <w:rPr>
                <w:b/>
                <w:sz w:val="17"/>
              </w:rPr>
              <w:t>Strongest</w:t>
            </w:r>
            <w:r>
              <w:rPr>
                <w:b w:val="0"/>
                <w:sz w:val="17"/>
              </w:rPr>
              <w:t xml:space="preserve"> — coverage, evidence levels and cost accounting make for a dense, comparison-rich briefing.</w:t>
            </w:r>
          </w:p>
        </w:tc>
      </w:tr>
    </w:tbl>
    <w:p>
      <w:pPr>
        <w:spacing w:after="80"/>
      </w:pPr>
    </w:p>
    <w:p>
      <w:pPr>
        <w:pStyle w:val="Heading2"/>
      </w:pPr>
      <w:r>
        <w:rPr>
          <w:b w:val="0"/>
          <w:i w:val="0"/>
        </w:rPr>
        <w:t>5.3  Against the "exceptional" definition</w:t>
      </w:r>
    </w:p>
    <w:p>
      <w:pPr>
        <w:spacing w:after="160"/>
      </w:pPr>
      <w:r>
        <w:rPr>
          <w:b w:val="0"/>
          <w:i w:val="0"/>
        </w:rPr>
        <w:t>The PS defines the top band as "a reusable substrate, a claim a learner can reproduce in under a minute, or a resource people keep using after the hackathon." Option A produces a merge sandbox; Option B produces a coverage-ladder generator. Both are tools rather than articles, which is the intent of that sentence. Option B’s generator has the broader afterlife; Option A’s sandbox has the sharper one-minute moment.</w:t>
      </w:r>
    </w:p>
    <w:p>
      <w:pPr>
        <w:pStyle w:val="Heading1"/>
      </w:pPr>
      <w:r>
        <w:rPr>
          <w:b w:val="0"/>
          <w:i w:val="0"/>
        </w:rPr>
        <w:t>6.  Recommendation</w:t>
      </w:r>
    </w:p>
    <w:p>
      <w:pPr>
        <w:spacing w:after="120"/>
      </w:pPr>
      <w:r>
        <w:rPr>
          <w:b/>
          <w:i w:val="0"/>
          <w:sz w:val="23"/>
        </w:rPr>
        <w:t>Option A — Model Surgery.</w:t>
      </w:r>
      <w:r>
        <w:rPr>
          <w:b w:val="0"/>
          <w:i w:val="0"/>
        </w:rPr>
        <w:t xml:space="preserve">  It is the only one of the two where we own a live substrate end to end, and it is the emptier lane. The two rubric criteria where teams most commonly collapse — technical ownership under live defence (15) and interactive substrate honesty (15) — are precisely where a model we trained ourselves and a forward pass we wrote ourselves are hardest to beat. Thirty points are decided by whether we can answer "what happens if I change this?" without hedging.</w:t>
      </w:r>
    </w:p>
    <w:p>
      <w:pPr>
        <w:spacing w:after="120"/>
      </w:pPr>
      <w:r>
        <w:rPr>
          <w:b w:val="0"/>
          <w:i w:val="0"/>
        </w:rPr>
        <w:t>Option B is the better choice if the team would rather write than train. Its one-page summary would be stronger, and its evidence-discipline story is the best available in this problem statement. But its centre of gravity is a system we cannot run, and the defence round will find that.</w:t>
      </w:r>
    </w:p>
    <w:p>
      <w:pPr>
        <w:spacing w:after="160"/>
      </w:pPr>
      <w:r>
        <w:rPr>
          <w:b w:val="0"/>
          <w:i w:val="0"/>
        </w:rPr>
        <w:t>A viable hybrid exists and is worth noting: build Option A as the artefact, and use Option B’s evidence discipline — particularly the cost-accounting and independent-evaluation distinctions in Section 7 below — as the spine of the one-page summary. This is legitimate under the PS, which permits combining two closely related topics provided there is one central claim and one coherent learning journey. It would need care to avoid splitting the claim.</w:t>
      </w:r>
    </w:p>
    <w:p>
      <w:r>
        <w:br w:type="page"/>
      </w:r>
    </w:p>
    <w:p>
      <w:pPr>
        <w:pStyle w:val="Heading1"/>
      </w:pPr>
      <w:r>
        <w:rPr>
          <w:b w:val="0"/>
          <w:i w:val="0"/>
        </w:rPr>
        <w:t>7.  Verified facts and accuracy landmines</w:t>
      </w:r>
    </w:p>
    <w:p>
      <w:pPr>
        <w:spacing w:after="160"/>
      </w:pPr>
      <w:r>
        <w:rPr>
          <w:b w:val="0"/>
          <w:i w:val="0"/>
        </w:rPr>
        <w:t>Incorrect claims receive "a major penalty" under the 25-point correctness criterion. The following were checked against the primary PDFs during preparation of this document; three of them are traps that a team working from secondary summaries would very likely fall into.</w:t>
      </w:r>
    </w:p>
    <w:p>
      <w:pPr>
        <w:pStyle w:val="Heading3"/>
      </w:pPr>
      <w:r>
        <w:rPr>
          <w:b w:val="0"/>
          <w:i w:val="0"/>
        </w:rPr>
        <w:t>Landmine 1 — There are two different "effort" axes in the BDH-CQ report</w:t>
      </w:r>
    </w:p>
    <w:p>
      <w:pPr>
        <w:spacing w:after="80"/>
      </w:pPr>
      <w:r>
        <w:rPr>
          <w:b w:val="0"/>
          <w:i w:val="0"/>
        </w:rPr>
        <w:t>Secondary summaries conflate these, producing figures that appear self-contradictory (a "cheaper" setting that costs more). They are distinct experiments: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shd w:val="clear" w:color="auto" w:fill="1F4E79"/>
          </w:tcPr>
          <w:p>
            <w:r/>
            <w:r>
              <w:rPr>
                <w:b/>
                <w:color w:val="FFFFFF"/>
                <w:sz w:val="18"/>
              </w:rPr>
              <w:t>Axis</w:t>
            </w:r>
          </w:p>
        </w:tc>
        <w:tc>
          <w:tcPr>
            <w:tcW w:type="dxa" w:w="2160"/>
            <w:shd w:val="clear" w:color="auto" w:fill="1F4E79"/>
          </w:tcPr>
          <w:p>
            <w:r/>
            <w:r>
              <w:rPr>
                <w:b/>
                <w:color w:val="FFFFFF"/>
                <w:sz w:val="18"/>
              </w:rPr>
              <w:t>Setting</w:t>
            </w:r>
          </w:p>
        </w:tc>
        <w:tc>
          <w:tcPr>
            <w:tcW w:type="dxa" w:w="2304"/>
            <w:shd w:val="clear" w:color="auto" w:fill="1F4E79"/>
          </w:tcPr>
          <w:p>
            <w:r/>
            <w:r>
              <w:rPr>
                <w:b/>
                <w:color w:val="FFFFFF"/>
                <w:sz w:val="18"/>
              </w:rPr>
              <w:t>Score</w:t>
            </w:r>
          </w:p>
        </w:tc>
        <w:tc>
          <w:tcPr>
            <w:tcW w:type="dxa" w:w="2448"/>
            <w:shd w:val="clear" w:color="auto" w:fill="1F4E79"/>
          </w:tcPr>
          <w:p>
            <w:r/>
            <w:r>
              <w:rPr>
                <w:b/>
                <w:color w:val="FFFFFF"/>
                <w:sz w:val="18"/>
              </w:rPr>
              <w:t>Cost</w:t>
            </w:r>
          </w:p>
        </w:tc>
      </w:tr>
      <w:tr>
        <w:tc>
          <w:tcPr>
            <w:tcW w:type="dxa" w:w="3168"/>
          </w:tcPr>
          <w:p>
            <w:pPr>
              <w:spacing w:after="40"/>
            </w:pPr>
            <w:r/>
            <w:r>
              <w:rPr>
                <w:b/>
                <w:sz w:val="18"/>
              </w:rPr>
              <w:t>Latent reasoning effort</w:t>
            </w:r>
            <w:r>
              <w:rPr>
                <w:b w:val="0"/>
                <w:sz w:val="18"/>
              </w:rPr>
              <w:t xml:space="preserve"> (§7)</w:t>
            </w:r>
          </w:p>
        </w:tc>
        <w:tc>
          <w:tcPr>
            <w:tcW w:type="dxa" w:w="2160"/>
          </w:tcPr>
          <w:p>
            <w:pPr>
              <w:spacing w:after="40"/>
            </w:pPr>
            <w:r/>
            <w:r>
              <w:rPr>
                <w:b w:val="0"/>
                <w:sz w:val="18"/>
              </w:rPr>
              <w:t>HIGH</w:t>
            </w:r>
          </w:p>
        </w:tc>
        <w:tc>
          <w:tcPr>
            <w:tcW w:type="dxa" w:w="2304"/>
          </w:tcPr>
          <w:p>
            <w:pPr>
              <w:spacing w:after="40"/>
            </w:pPr>
            <w:r/>
            <w:r>
              <w:rPr>
                <w:b w:val="0"/>
                <w:sz w:val="18"/>
              </w:rPr>
              <w:t>29.5% pass@2</w:t>
            </w:r>
          </w:p>
        </w:tc>
        <w:tc>
          <w:tcPr>
            <w:tcW w:type="dxa" w:w="2448"/>
          </w:tcPr>
          <w:p>
            <w:pPr>
              <w:spacing w:after="40"/>
            </w:pPr>
            <w:r/>
            <w:r>
              <w:rPr>
                <w:b w:val="0"/>
                <w:sz w:val="18"/>
              </w:rPr>
              <w:t>baseline (0% reduction)</w:t>
            </w:r>
          </w:p>
        </w:tc>
      </w:tr>
      <w:tr>
        <w:tc>
          <w:tcPr>
            <w:tcW w:type="dxa" w:w="3168"/>
            <w:shd w:val="clear" w:color="auto" w:fill="F2F6FA"/>
          </w:tcPr>
          <w:p>
            <w:pPr>
              <w:spacing w:after="40"/>
            </w:pPr>
            <w:r/>
            <w:r>
              <w:rPr>
                <w:b/>
                <w:sz w:val="18"/>
              </w:rPr>
              <w:t>Latent reasoning effort</w:t>
            </w:r>
            <w:r>
              <w:rPr>
                <w:b w:val="0"/>
                <w:sz w:val="18"/>
              </w:rPr>
              <w:t xml:space="preserve"> (§7)</w:t>
            </w:r>
          </w:p>
        </w:tc>
        <w:tc>
          <w:tcPr>
            <w:tcW w:type="dxa" w:w="2160"/>
            <w:shd w:val="clear" w:color="auto" w:fill="F2F6FA"/>
          </w:tcPr>
          <w:p>
            <w:pPr>
              <w:spacing w:after="40"/>
            </w:pPr>
            <w:r/>
            <w:r>
              <w:rPr>
                <w:b w:val="0"/>
                <w:sz w:val="18"/>
              </w:rPr>
              <w:t>MEDIUM</w:t>
            </w:r>
          </w:p>
        </w:tc>
        <w:tc>
          <w:tcPr>
            <w:tcW w:type="dxa" w:w="2304"/>
            <w:shd w:val="clear" w:color="auto" w:fill="F2F6FA"/>
          </w:tcPr>
          <w:p>
            <w:pPr>
              <w:spacing w:after="40"/>
            </w:pPr>
            <w:r/>
            <w:r>
              <w:rPr>
                <w:b w:val="0"/>
                <w:sz w:val="18"/>
              </w:rPr>
              <w:t>27% pass@2</w:t>
            </w:r>
          </w:p>
        </w:tc>
        <w:tc>
          <w:tcPr>
            <w:tcW w:type="dxa" w:w="2448"/>
            <w:shd w:val="clear" w:color="auto" w:fill="F2F6FA"/>
          </w:tcPr>
          <w:p>
            <w:pPr>
              <w:spacing w:after="40"/>
            </w:pPr>
            <w:r/>
            <w:r>
              <w:rPr>
                <w:b w:val="0"/>
                <w:sz w:val="18"/>
              </w:rPr>
              <w:t>11% cost reduction</w:t>
            </w:r>
          </w:p>
        </w:tc>
      </w:tr>
      <w:tr>
        <w:tc>
          <w:tcPr>
            <w:tcW w:type="dxa" w:w="3168"/>
          </w:tcPr>
          <w:p>
            <w:pPr>
              <w:spacing w:after="40"/>
            </w:pPr>
            <w:r/>
            <w:r>
              <w:rPr>
                <w:b/>
                <w:sz w:val="18"/>
              </w:rPr>
              <w:t>Latent reasoning effort</w:t>
            </w:r>
            <w:r>
              <w:rPr>
                <w:b w:val="0"/>
                <w:sz w:val="18"/>
              </w:rPr>
              <w:t xml:space="preserve"> (§7)</w:t>
            </w:r>
          </w:p>
        </w:tc>
        <w:tc>
          <w:tcPr>
            <w:tcW w:type="dxa" w:w="2160"/>
          </w:tcPr>
          <w:p>
            <w:pPr>
              <w:spacing w:after="40"/>
            </w:pPr>
            <w:r/>
            <w:r>
              <w:rPr>
                <w:b w:val="0"/>
                <w:sz w:val="18"/>
              </w:rPr>
              <w:t>LOW</w:t>
            </w:r>
          </w:p>
        </w:tc>
        <w:tc>
          <w:tcPr>
            <w:tcW w:type="dxa" w:w="2304"/>
          </w:tcPr>
          <w:p>
            <w:pPr>
              <w:spacing w:after="40"/>
            </w:pPr>
            <w:r/>
            <w:r>
              <w:rPr>
                <w:b w:val="0"/>
                <w:sz w:val="18"/>
              </w:rPr>
              <w:t>21% pass@2</w:t>
            </w:r>
          </w:p>
        </w:tc>
        <w:tc>
          <w:tcPr>
            <w:tcW w:type="dxa" w:w="2448"/>
          </w:tcPr>
          <w:p>
            <w:pPr>
              <w:spacing w:after="40"/>
            </w:pPr>
            <w:r/>
            <w:r>
              <w:rPr>
                <w:b w:val="0"/>
                <w:sz w:val="18"/>
              </w:rPr>
              <w:t>22% cost reduction</w:t>
            </w:r>
          </w:p>
        </w:tc>
      </w:tr>
      <w:tr>
        <w:tc>
          <w:tcPr>
            <w:tcW w:type="dxa" w:w="3168"/>
            <w:shd w:val="clear" w:color="auto" w:fill="F2F6FA"/>
          </w:tcPr>
          <w:p>
            <w:pPr>
              <w:spacing w:after="40"/>
            </w:pPr>
            <w:r/>
            <w:r>
              <w:rPr>
                <w:b/>
                <w:sz w:val="18"/>
              </w:rPr>
              <w:t>Attempt-delivery effort</w:t>
            </w:r>
            <w:r>
              <w:rPr>
                <w:b w:val="0"/>
                <w:sz w:val="18"/>
              </w:rPr>
              <w:t xml:space="preserve"> (§6.6)</w:t>
            </w:r>
          </w:p>
        </w:tc>
        <w:tc>
          <w:tcPr>
            <w:tcW w:type="dxa" w:w="2160"/>
            <w:shd w:val="clear" w:color="auto" w:fill="F2F6FA"/>
          </w:tcPr>
          <w:p>
            <w:pPr>
              <w:spacing w:after="40"/>
            </w:pPr>
            <w:r/>
            <w:r>
              <w:rPr>
                <w:b w:val="0"/>
                <w:sz w:val="18"/>
              </w:rPr>
              <w:t>STANDARD</w:t>
            </w:r>
          </w:p>
        </w:tc>
        <w:tc>
          <w:tcPr>
            <w:tcW w:type="dxa" w:w="2304"/>
            <w:shd w:val="clear" w:color="auto" w:fill="F2F6FA"/>
          </w:tcPr>
          <w:p>
            <w:pPr>
              <w:spacing w:after="40"/>
            </w:pPr>
            <w:r/>
            <w:r>
              <w:rPr>
                <w:b w:val="0"/>
                <w:sz w:val="18"/>
              </w:rPr>
              <w:t>118/400 pass@2</w:t>
            </w:r>
          </w:p>
        </w:tc>
        <w:tc>
          <w:tcPr>
            <w:tcW w:type="dxa" w:w="2448"/>
            <w:shd w:val="clear" w:color="auto" w:fill="F2F6FA"/>
          </w:tcPr>
          <w:p>
            <w:pPr>
              <w:spacing w:after="40"/>
            </w:pPr>
            <w:r/>
            <w:r>
              <w:rPr>
                <w:b w:val="0"/>
                <w:sz w:val="18"/>
              </w:rPr>
              <w:t>$0.00265246 / task</w:t>
            </w:r>
          </w:p>
        </w:tc>
      </w:tr>
      <w:tr>
        <w:tc>
          <w:tcPr>
            <w:tcW w:type="dxa" w:w="3168"/>
          </w:tcPr>
          <w:p>
            <w:pPr>
              <w:spacing w:after="40"/>
            </w:pPr>
            <w:r/>
            <w:r>
              <w:rPr>
                <w:b/>
                <w:sz w:val="18"/>
              </w:rPr>
              <w:t>Attempt-delivery effort</w:t>
            </w:r>
            <w:r>
              <w:rPr>
                <w:b w:val="0"/>
                <w:sz w:val="18"/>
              </w:rPr>
              <w:t xml:space="preserve"> (§6.6)</w:t>
            </w:r>
          </w:p>
        </w:tc>
        <w:tc>
          <w:tcPr>
            <w:tcW w:type="dxa" w:w="2160"/>
          </w:tcPr>
          <w:p>
            <w:pPr>
              <w:spacing w:after="40"/>
            </w:pPr>
            <w:r/>
            <w:r>
              <w:rPr>
                <w:b w:val="0"/>
                <w:sz w:val="18"/>
              </w:rPr>
              <w:t>MIN</w:t>
            </w:r>
          </w:p>
        </w:tc>
        <w:tc>
          <w:tcPr>
            <w:tcW w:type="dxa" w:w="2304"/>
          </w:tcPr>
          <w:p>
            <w:pPr>
              <w:spacing w:after="40"/>
            </w:pPr>
            <w:r/>
            <w:r>
              <w:rPr>
                <w:b w:val="0"/>
                <w:sz w:val="18"/>
              </w:rPr>
              <w:t>111/400 pass@2</w:t>
            </w:r>
          </w:p>
        </w:tc>
        <w:tc>
          <w:tcPr>
            <w:tcW w:type="dxa" w:w="2448"/>
          </w:tcPr>
          <w:p>
            <w:pPr>
              <w:spacing w:after="40"/>
            </w:pPr>
            <w:r/>
            <w:r>
              <w:rPr>
                <w:b w:val="0"/>
                <w:sz w:val="18"/>
              </w:rPr>
              <w:t>$0.00088399 / task</w:t>
            </w:r>
          </w:p>
        </w:tc>
      </w:tr>
    </w:tbl>
    <w:p>
      <w:pPr>
        <w:spacing w:after="80"/>
      </w:pPr>
    </w:p>
    <w:p>
      <w:pPr>
        <w:spacing w:after="160"/>
      </w:pPr>
      <w:r>
        <w:rPr>
          <w:b w:val="0"/>
          <w:i w:val="0"/>
        </w:rPr>
        <w:t>The §6.6 MIN-vs-STANDARD difference is −1.75 percentage points, and the report states plainly that the comparison is "statistically unresolved" (two-sided exact McNemar p = 0.167). Reporting it as a clean win for STANDARD would be an overclaim.</w:t>
      </w:r>
    </w:p>
    <w:p>
      <w:pPr>
        <w:pStyle w:val="Heading3"/>
      </w:pPr>
      <w:r>
        <w:rPr>
          <w:b w:val="0"/>
          <w:i w:val="0"/>
        </w:rPr>
        <w:t>Landmine 2 — Two different cost multipliers, both correct</w:t>
      </w:r>
    </w:p>
    <w:p>
      <w:pPr>
        <w:spacing w:after="120"/>
      </w:pPr>
      <w:r>
        <w:rPr>
          <w:b w:val="0"/>
          <w:i w:val="0"/>
        </w:rPr>
        <w:t>BDH-CQ is described as approximately 57× cheaper than GPT 5.6 Luna (Low) — which scores 34.2% at $0.040 — using ARC Prize’s reported costs as of July 2026. It is approximately 11× cheaper once OpenAI’s 80% API price reduction of 30 July 2026 is accounted for. Both figures appear in the report. Quoting 57× without the price-cut caveat is the kind of selective citation the "evidence discipline" criterion exists to catch.</w:t>
      </w:r>
    </w:p>
    <w:p>
      <w:pPr>
        <w:spacing w:after="160"/>
      </w:pPr>
      <w:r>
        <w:rPr>
          <w:b w:val="0"/>
          <w:i w:val="0"/>
        </w:rPr>
        <w:t>Note also a third figure that must be reconciled before use: the headline cost is $0.00070 per task (0.85 H200 GPU-seconds at $3/H200-hour), while §6.6 reports STANDARD at $0.00265246 per task. These differ by roughly 3.8×. If we cite cost at all, we must state which basis we are using.</w:t>
      </w:r>
    </w:p>
    <w:p>
      <w:pPr>
        <w:pStyle w:val="Heading3"/>
      </w:pPr>
      <w:r>
        <w:rPr>
          <w:b w:val="0"/>
          <w:i w:val="0"/>
        </w:rPr>
        <w:t>Landmine 3 — The "independent evaluation" was conducted by co-authors</w:t>
      </w:r>
    </w:p>
    <w:p>
      <w:pPr>
        <w:spacing w:after="0"/>
      </w:pPr>
      <w:r>
        <w:rPr>
          <w:b w:val="0"/>
          <w:i w:val="0"/>
        </w:rPr>
        <w:t xml:space="preserve">The report states that an independent black-box audit reproduced the 29.5% pass@2 score. The auditors are from Bielik AI and New York University — and they are </w:t>
      </w:r>
    </w:p>
    <w:p>
      <w:pPr>
        <w:spacing w:after="160"/>
      </w:pPr>
      <w:r>
        <w:rPr>
          <w:b/>
          <w:i w:val="0"/>
        </w:rPr>
        <w:t>listed as co-authors of the report itself</w:t>
      </w:r>
      <w:r>
        <w:rPr>
          <w:b w:val="0"/>
          <w:i w:val="0"/>
        </w:rPr>
        <w:t xml:space="preserve"> (Remigiusz Kinas, Bielik AI; Richard Zhong, New York University). The audit was genuinely black-box — conducted without access to model weights, under a documented protocol — but it is not a third-party reproduction. The PS asks for exactly this distinction: "a result reported by its developer is not the same as an external reproduction." Getting this right is free marks; getting it wrong is a correctness penalty.</w:t>
      </w:r>
    </w:p>
    <w:p>
      <w:pPr>
        <w:pStyle w:val="Heading3"/>
      </w:pPr>
      <w:r>
        <w:rPr>
          <w:b w:val="0"/>
          <w:i w:val="0"/>
        </w:rPr>
        <w:t>Verified reference figures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1F4E79"/>
          </w:tcPr>
          <w:p>
            <w:r/>
            <w:r>
              <w:rPr>
                <w:b/>
                <w:color w:val="FFFFFF"/>
                <w:sz w:val="17"/>
              </w:rPr>
              <w:t>Fact</w:t>
            </w:r>
          </w:p>
        </w:tc>
        <w:tc>
          <w:tcPr>
            <w:tcW w:type="dxa" w:w="4032"/>
            <w:shd w:val="clear" w:color="auto" w:fill="1F4E79"/>
          </w:tcPr>
          <w:p>
            <w:r/>
            <w:r>
              <w:rPr>
                <w:b/>
                <w:color w:val="FFFFFF"/>
                <w:sz w:val="17"/>
              </w:rPr>
              <w:t>Value</w:t>
            </w:r>
          </w:p>
        </w:tc>
        <w:tc>
          <w:tcPr>
            <w:tcW w:type="dxa" w:w="2304"/>
            <w:shd w:val="clear" w:color="auto" w:fill="1F4E79"/>
          </w:tcPr>
          <w:p>
            <w:r/>
            <w:r>
              <w:rPr>
                <w:b/>
                <w:color w:val="FFFFFF"/>
                <w:sz w:val="17"/>
              </w:rPr>
              <w:t>Source</w:t>
            </w:r>
          </w:p>
        </w:tc>
      </w:tr>
      <w:tr>
        <w:tc>
          <w:tcPr>
            <w:tcW w:type="dxa" w:w="3456"/>
          </w:tcPr>
          <w:p>
            <w:pPr>
              <w:spacing w:after="40"/>
            </w:pPr>
            <w:r/>
            <w:r>
              <w:rPr>
                <w:b w:val="0"/>
                <w:sz w:val="17"/>
              </w:rPr>
              <w:t>BDH-CQ headline</w:t>
            </w:r>
          </w:p>
        </w:tc>
        <w:tc>
          <w:tcPr>
            <w:tcW w:type="dxa" w:w="4032"/>
          </w:tcPr>
          <w:p>
            <w:pPr>
              <w:spacing w:after="40"/>
            </w:pPr>
            <w:r/>
            <w:r>
              <w:rPr>
                <w:b w:val="0"/>
                <w:sz w:val="17"/>
              </w:rPr>
              <w:t>29.5% pass@2 (118/400); 24.25% pass@1 (97/400)</w:t>
            </w:r>
          </w:p>
        </w:tc>
        <w:tc>
          <w:tcPr>
            <w:tcW w:type="dxa" w:w="2304"/>
          </w:tcPr>
          <w:p>
            <w:pPr>
              <w:spacing w:after="40"/>
            </w:pPr>
            <w:r/>
            <w:r>
              <w:rPr>
                <w:b w:val="0"/>
                <w:sz w:val="17"/>
              </w:rPr>
              <w:t>arXiv:2608.09888, Table 1</w:t>
            </w:r>
          </w:p>
        </w:tc>
      </w:tr>
      <w:tr>
        <w:tc>
          <w:tcPr>
            <w:tcW w:type="dxa" w:w="3456"/>
            <w:shd w:val="clear" w:color="auto" w:fill="F2F6FA"/>
          </w:tcPr>
          <w:p>
            <w:pPr>
              <w:spacing w:after="40"/>
            </w:pPr>
            <w:r/>
            <w:r>
              <w:rPr>
                <w:b w:val="0"/>
                <w:sz w:val="17"/>
              </w:rPr>
              <w:t>BDH-CQ test-pair accuracy</w:t>
            </w:r>
          </w:p>
        </w:tc>
        <w:tc>
          <w:tcPr>
            <w:tcW w:type="dxa" w:w="4032"/>
            <w:shd w:val="clear" w:color="auto" w:fill="F2F6FA"/>
          </w:tcPr>
          <w:p>
            <w:pPr>
              <w:spacing w:after="40"/>
            </w:pPr>
            <w:r/>
            <w:r>
              <w:rPr>
                <w:b w:val="0"/>
                <w:sz w:val="17"/>
              </w:rPr>
              <w:t>31.03% p@2 (130/419); 25.78% p@1 (108/419)</w:t>
            </w:r>
          </w:p>
        </w:tc>
        <w:tc>
          <w:tcPr>
            <w:tcW w:type="dxa" w:w="2304"/>
            <w:shd w:val="clear" w:color="auto" w:fill="F2F6FA"/>
          </w:tcPr>
          <w:p>
            <w:pPr>
              <w:spacing w:after="40"/>
            </w:pPr>
            <w:r/>
            <w:r>
              <w:rPr>
                <w:b w:val="0"/>
                <w:sz w:val="17"/>
              </w:rPr>
              <w:t>Table 1</w:t>
            </w:r>
          </w:p>
        </w:tc>
      </w:tr>
      <w:tr>
        <w:tc>
          <w:tcPr>
            <w:tcW w:type="dxa" w:w="3456"/>
          </w:tcPr>
          <w:p>
            <w:pPr>
              <w:spacing w:after="40"/>
            </w:pPr>
            <w:r/>
            <w:r>
              <w:rPr>
                <w:b w:val="0"/>
                <w:sz w:val="17"/>
              </w:rPr>
              <w:t>BDH-CQ Wilson 95% CI on pass@2</w:t>
            </w:r>
          </w:p>
        </w:tc>
        <w:tc>
          <w:tcPr>
            <w:tcW w:type="dxa" w:w="4032"/>
          </w:tcPr>
          <w:p>
            <w:pPr>
              <w:spacing w:after="40"/>
            </w:pPr>
            <w:r/>
            <w:r>
              <w:rPr>
                <w:b w:val="0"/>
                <w:sz w:val="17"/>
              </w:rPr>
              <w:t>[25.24, 34.15]</w:t>
            </w:r>
          </w:p>
        </w:tc>
        <w:tc>
          <w:tcPr>
            <w:tcW w:type="dxa" w:w="2304"/>
          </w:tcPr>
          <w:p>
            <w:pPr>
              <w:spacing w:after="40"/>
            </w:pPr>
            <w:r/>
            <w:r>
              <w:rPr>
                <w:b w:val="0"/>
                <w:sz w:val="17"/>
              </w:rPr>
              <w:t>Table 1</w:t>
            </w:r>
          </w:p>
        </w:tc>
      </w:tr>
      <w:tr>
        <w:tc>
          <w:tcPr>
            <w:tcW w:type="dxa" w:w="3456"/>
            <w:shd w:val="clear" w:color="auto" w:fill="F2F6FA"/>
          </w:tcPr>
          <w:p>
            <w:pPr>
              <w:spacing w:after="40"/>
            </w:pPr>
            <w:r/>
            <w:r>
              <w:rPr>
                <w:b w:val="0"/>
                <w:sz w:val="17"/>
              </w:rPr>
              <w:t>BDH-CQ model size</w:t>
            </w:r>
          </w:p>
        </w:tc>
        <w:tc>
          <w:tcPr>
            <w:tcW w:type="dxa" w:w="4032"/>
            <w:shd w:val="clear" w:color="auto" w:fill="F2F6FA"/>
          </w:tcPr>
          <w:p>
            <w:pPr>
              <w:spacing w:after="40"/>
            </w:pPr>
            <w:r/>
            <w:r>
              <w:rPr>
                <w:b w:val="0"/>
                <w:sz w:val="17"/>
              </w:rPr>
              <w:t>150M parameters</w:t>
            </w:r>
          </w:p>
        </w:tc>
        <w:tc>
          <w:tcPr>
            <w:tcW w:type="dxa" w:w="2304"/>
            <w:shd w:val="clear" w:color="auto" w:fill="F2F6FA"/>
          </w:tcPr>
          <w:p>
            <w:pPr>
              <w:spacing w:after="40"/>
            </w:pPr>
            <w:r/>
            <w:r>
              <w:rPr>
                <w:b w:val="0"/>
                <w:sz w:val="17"/>
              </w:rPr>
              <w:t>§5</w:t>
            </w:r>
          </w:p>
        </w:tc>
      </w:tr>
      <w:tr>
        <w:tc>
          <w:tcPr>
            <w:tcW w:type="dxa" w:w="3456"/>
          </w:tcPr>
          <w:p>
            <w:pPr>
              <w:spacing w:after="40"/>
            </w:pPr>
            <w:r/>
            <w:r>
              <w:rPr>
                <w:b w:val="0"/>
                <w:sz w:val="17"/>
              </w:rPr>
              <w:t>ConceptARC (semantic IDs)</w:t>
            </w:r>
          </w:p>
        </w:tc>
        <w:tc>
          <w:tcPr>
            <w:tcW w:type="dxa" w:w="4032"/>
          </w:tcPr>
          <w:p>
            <w:pPr>
              <w:spacing w:after="40"/>
            </w:pPr>
            <w:r/>
            <w:r>
              <w:rPr>
                <w:b w:val="0"/>
                <w:sz w:val="17"/>
              </w:rPr>
              <w:t>59.38% task p@2; 77.92% pair p@2</w:t>
            </w:r>
          </w:p>
        </w:tc>
        <w:tc>
          <w:tcPr>
            <w:tcW w:type="dxa" w:w="2304"/>
          </w:tcPr>
          <w:p>
            <w:pPr>
              <w:spacing w:after="40"/>
            </w:pPr>
            <w:r/>
            <w:r>
              <w:rPr>
                <w:b w:val="0"/>
                <w:sz w:val="17"/>
              </w:rPr>
              <w:t>Table 1</w:t>
            </w:r>
          </w:p>
        </w:tc>
      </w:tr>
      <w:tr>
        <w:tc>
          <w:tcPr>
            <w:tcW w:type="dxa" w:w="3456"/>
            <w:shd w:val="clear" w:color="auto" w:fill="F2F6FA"/>
          </w:tcPr>
          <w:p>
            <w:pPr>
              <w:spacing w:after="40"/>
            </w:pPr>
            <w:r/>
            <w:r>
              <w:rPr>
                <w:b w:val="0"/>
                <w:sz w:val="17"/>
              </w:rPr>
              <w:t>BDH merge: base model</w:t>
            </w:r>
          </w:p>
        </w:tc>
        <w:tc>
          <w:tcPr>
            <w:tcW w:type="dxa" w:w="4032"/>
            <w:shd w:val="clear" w:color="auto" w:fill="F2F6FA"/>
          </w:tcPr>
          <w:p>
            <w:pPr>
              <w:spacing w:after="40"/>
            </w:pPr>
            <w:r/>
            <w:r>
              <w:rPr>
                <w:b w:val="0"/>
                <w:sz w:val="17"/>
              </w:rPr>
              <w:t>n = 24,576; 19M params; En-Es; Europarl</w:t>
            </w:r>
          </w:p>
        </w:tc>
        <w:tc>
          <w:tcPr>
            <w:tcW w:type="dxa" w:w="2304"/>
            <w:shd w:val="clear" w:color="auto" w:fill="F2F6FA"/>
          </w:tcPr>
          <w:p>
            <w:pPr>
              <w:spacing w:after="40"/>
            </w:pPr>
            <w:r/>
            <w:r>
              <w:rPr>
                <w:b w:val="0"/>
                <w:sz w:val="17"/>
              </w:rPr>
              <w:t>arXiv:2509.26507 §7.1, App. B.4</w:t>
            </w:r>
          </w:p>
        </w:tc>
      </w:tr>
      <w:tr>
        <w:tc>
          <w:tcPr>
            <w:tcW w:type="dxa" w:w="3456"/>
          </w:tcPr>
          <w:p>
            <w:pPr>
              <w:spacing w:after="40"/>
            </w:pPr>
            <w:r/>
            <w:r>
              <w:rPr>
                <w:b w:val="0"/>
                <w:sz w:val="17"/>
              </w:rPr>
              <w:t>BDH merge: merged model</w:t>
            </w:r>
          </w:p>
        </w:tc>
        <w:tc>
          <w:tcPr>
            <w:tcW w:type="dxa" w:w="4032"/>
          </w:tcPr>
          <w:p>
            <w:pPr>
              <w:spacing w:after="40"/>
            </w:pPr>
            <w:r/>
            <w:r>
              <w:rPr>
                <w:b w:val="0"/>
                <w:sz w:val="17"/>
              </w:rPr>
              <w:t>n = 49,152; 38M params; no finetuning</w:t>
            </w:r>
          </w:p>
        </w:tc>
        <w:tc>
          <w:tcPr>
            <w:tcW w:type="dxa" w:w="2304"/>
          </w:tcPr>
          <w:p>
            <w:pPr>
              <w:spacing w:after="40"/>
            </w:pPr>
            <w:r/>
            <w:r>
              <w:rPr>
                <w:b w:val="0"/>
                <w:sz w:val="17"/>
              </w:rPr>
              <w:t>§7.1</w:t>
            </w:r>
          </w:p>
        </w:tc>
      </w:tr>
      <w:tr>
        <w:tc>
          <w:tcPr>
            <w:tcW w:type="dxa" w:w="3456"/>
            <w:shd w:val="clear" w:color="auto" w:fill="F2F6FA"/>
          </w:tcPr>
          <w:p>
            <w:pPr>
              <w:spacing w:after="40"/>
            </w:pPr>
            <w:r/>
            <w:r>
              <w:rPr>
                <w:b w:val="0"/>
                <w:sz w:val="17"/>
              </w:rPr>
              <w:t>BDH unconditional English LM loss</w:t>
            </w:r>
          </w:p>
        </w:tc>
        <w:tc>
          <w:tcPr>
            <w:tcW w:type="dxa" w:w="4032"/>
            <w:shd w:val="clear" w:color="auto" w:fill="F2F6FA"/>
          </w:tcPr>
          <w:p>
            <w:pPr>
              <w:spacing w:after="40"/>
            </w:pPr>
            <w:r/>
            <w:r>
              <w:rPr>
                <w:b w:val="0"/>
                <w:sz w:val="17"/>
              </w:rPr>
              <w:t>≈ 0.65 (the fallback baseline)</w:t>
            </w:r>
          </w:p>
        </w:tc>
        <w:tc>
          <w:tcPr>
            <w:tcW w:type="dxa" w:w="2304"/>
            <w:shd w:val="clear" w:color="auto" w:fill="F2F6FA"/>
          </w:tcPr>
          <w:p>
            <w:pPr>
              <w:spacing w:after="40"/>
            </w:pPr>
            <w:r/>
            <w:r>
              <w:rPr>
                <w:b w:val="0"/>
                <w:sz w:val="17"/>
              </w:rPr>
              <w:t>Table 2 caption</w:t>
            </w:r>
          </w:p>
        </w:tc>
      </w:tr>
      <w:tr>
        <w:tc>
          <w:tcPr>
            <w:tcW w:type="dxa" w:w="3456"/>
          </w:tcPr>
          <w:p>
            <w:pPr>
              <w:spacing w:after="40"/>
            </w:pPr>
            <w:r/>
            <w:r>
              <w:rPr>
                <w:b w:val="0"/>
                <w:sz w:val="17"/>
              </w:rPr>
              <w:t>BDH-GPU parameter count</w:t>
            </w:r>
          </w:p>
        </w:tc>
        <w:tc>
          <w:tcPr>
            <w:tcW w:type="dxa" w:w="4032"/>
          </w:tcPr>
          <w:p>
            <w:pPr>
              <w:spacing w:after="40"/>
            </w:pPr>
            <w:r/>
            <w:r>
              <w:rPr>
                <w:b w:val="0"/>
                <w:sz w:val="17"/>
              </w:rPr>
              <w:t>3nd + 2Ωd = (3+o(1))nd</w:t>
            </w:r>
          </w:p>
        </w:tc>
        <w:tc>
          <w:tcPr>
            <w:tcW w:type="dxa" w:w="2304"/>
          </w:tcPr>
          <w:p>
            <w:pPr>
              <w:spacing w:after="40"/>
            </w:pPr>
            <w:r/>
            <w:r>
              <w:rPr>
                <w:b w:val="0"/>
                <w:sz w:val="17"/>
              </w:rPr>
              <w:t>§3.2, Definition 4</w:t>
            </w:r>
          </w:p>
        </w:tc>
      </w:tr>
      <w:tr>
        <w:tc>
          <w:tcPr>
            <w:tcW w:type="dxa" w:w="3456"/>
            <w:shd w:val="clear" w:color="auto" w:fill="F2F6FA"/>
          </w:tcPr>
          <w:p>
            <w:pPr>
              <w:spacing w:after="40"/>
            </w:pPr>
            <w:r/>
            <w:r>
              <w:rPr>
                <w:b w:val="0"/>
                <w:sz w:val="17"/>
              </w:rPr>
              <w:t>BDH activation sparsity</w:t>
            </w:r>
          </w:p>
        </w:tc>
        <w:tc>
          <w:tcPr>
            <w:tcW w:type="dxa" w:w="4032"/>
            <w:shd w:val="clear" w:color="auto" w:fill="F2F6FA"/>
          </w:tcPr>
          <w:p>
            <w:pPr>
              <w:spacing w:after="40"/>
            </w:pPr>
            <w:r/>
            <w:r>
              <w:rPr>
                <w:b w:val="0"/>
                <w:sz w:val="17"/>
              </w:rPr>
              <w:t>~5% of neurons active; layer 2 varies 4.0–7.5% (memorisation) vs ~2.5% (repetition)</w:t>
            </w:r>
          </w:p>
        </w:tc>
        <w:tc>
          <w:tcPr>
            <w:tcW w:type="dxa" w:w="2304"/>
            <w:shd w:val="clear" w:color="auto" w:fill="F2F6FA"/>
          </w:tcPr>
          <w:p>
            <w:pPr>
              <w:spacing w:after="40"/>
            </w:pPr>
            <w:r/>
            <w:r>
              <w:rPr>
                <w:b w:val="0"/>
                <w:sz w:val="17"/>
              </w:rPr>
              <w:t>§6.4</w:t>
            </w:r>
          </w:p>
        </w:tc>
      </w:tr>
      <w:tr>
        <w:tc>
          <w:tcPr>
            <w:tcW w:type="dxa" w:w="3456"/>
          </w:tcPr>
          <w:p>
            <w:pPr>
              <w:spacing w:after="40"/>
            </w:pPr>
            <w:r/>
            <w:r>
              <w:rPr>
                <w:b w:val="0"/>
                <w:sz w:val="17"/>
              </w:rPr>
              <w:t>Official BDH repo</w:t>
            </w:r>
          </w:p>
        </w:tc>
        <w:tc>
          <w:tcPr>
            <w:tcW w:type="dxa" w:w="4032"/>
          </w:tcPr>
          <w:p>
            <w:pPr>
              <w:spacing w:after="40"/>
            </w:pPr>
            <w:r/>
            <w:r>
              <w:rPr>
                <w:b w:val="0"/>
                <w:sz w:val="17"/>
              </w:rPr>
              <w:t>pathwaycom/bdh — MIT licence; deps are torch, numpy, requests only</w:t>
            </w:r>
          </w:p>
        </w:tc>
        <w:tc>
          <w:tcPr>
            <w:tcW w:type="dxa" w:w="2304"/>
          </w:tcPr>
          <w:p>
            <w:pPr>
              <w:spacing w:after="40"/>
            </w:pPr>
            <w:r/>
            <w:r>
              <w:rPr>
                <w:b w:val="0"/>
                <w:sz w:val="17"/>
              </w:rPr>
              <w:t>GitHub</w:t>
            </w:r>
          </w:p>
        </w:tc>
      </w:tr>
      <w:tr>
        <w:tc>
          <w:tcPr>
            <w:tcW w:type="dxa" w:w="3456"/>
            <w:shd w:val="clear" w:color="auto" w:fill="F2F6FA"/>
          </w:tcPr>
          <w:p>
            <w:pPr>
              <w:spacing w:after="40"/>
            </w:pPr>
            <w:r/>
            <w:r>
              <w:rPr>
                <w:b w:val="0"/>
                <w:sz w:val="17"/>
              </w:rPr>
              <w:t>ARC task generator</w:t>
            </w:r>
          </w:p>
        </w:tc>
        <w:tc>
          <w:tcPr>
            <w:tcW w:type="dxa" w:w="4032"/>
            <w:shd w:val="clear" w:color="auto" w:fill="F2F6FA"/>
          </w:tcPr>
          <w:p>
            <w:pPr>
              <w:spacing w:after="40"/>
            </w:pPr>
            <w:r/>
            <w:r>
              <w:rPr>
                <w:b w:val="0"/>
                <w:sz w:val="17"/>
              </w:rPr>
              <w:t>pathwaycom/arc-task-gen — MIT licence</w:t>
            </w:r>
          </w:p>
        </w:tc>
        <w:tc>
          <w:tcPr>
            <w:tcW w:type="dxa" w:w="2304"/>
            <w:shd w:val="clear" w:color="auto" w:fill="F2F6FA"/>
          </w:tcPr>
          <w:p>
            <w:pPr>
              <w:spacing w:after="40"/>
            </w:pPr>
            <w:r/>
            <w:r>
              <w:rPr>
                <w:b w:val="0"/>
                <w:sz w:val="17"/>
              </w:rPr>
              <w:t>GitHub</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8F5E9"/>
          </w:tcPr>
          <w:p>
            <w:r/>
            <w:r>
              <w:rPr>
                <w:b/>
                <w:color w:val="2E7D32"/>
                <w:sz w:val="20"/>
              </w:rPr>
              <w:t>Practical note — we are not blocked on Linux</w:t>
            </w:r>
          </w:p>
          <w:p>
            <w:pPr>
              <w:spacing w:after="40"/>
            </w:pPr>
            <w:r>
              <w:rPr>
                <w:sz w:val="19"/>
              </w:rPr>
              <w:t>The project README currently records that we are waiting on a Linux distribution because "pathway requires macOS/linux". That constraint applies to the Pathway data-streaming framework (pip install pathway), which nothing in this track requires. The official BDH repository depends only on torch, numpy and requests, and runs on Windows as-is. Neither option in this document needs WSL.</w:t>
            </w:r>
          </w:p>
        </w:tc>
      </w:tr>
    </w:tbl>
    <w:p>
      <w:pPr>
        <w:spacing w:after="80"/>
      </w:pPr>
    </w:p>
    <w:p>
      <w:pPr>
        <w:pStyle w:val="Heading1"/>
      </w:pPr>
      <w:r>
        <w:rPr>
          <w:b w:val="0"/>
          <w:i w:val="0"/>
        </w:rPr>
        <w:t>8.  Primary sources</w:t>
      </w:r>
    </w:p>
    <w:p>
      <w:pPr>
        <w:spacing w:after="100"/>
      </w:pPr>
      <w:r>
        <w:rPr>
          <w:b/>
          <w:i w:val="0"/>
          <w:sz w:val="19"/>
        </w:rPr>
        <w:t>Dragon Hatchling paper — Kosowski, Uznański, Chorowski, Stamirowska, Bartoszkiewicz (Pathway)</w:t>
        <w:br/>
      </w:r>
      <w:r>
        <w:rPr>
          <w:b w:val="0"/>
          <w:i w:val="0"/>
          <w:color w:val="595959"/>
          <w:sz w:val="19"/>
        </w:rPr>
        <w:t>arXiv:2509.26507  ·  https://arxiv.org/abs/2509.26507</w:t>
      </w:r>
    </w:p>
    <w:p>
      <w:pPr>
        <w:spacing w:after="100"/>
      </w:pPr>
      <w:r>
        <w:rPr>
          <w:b/>
          <w:i w:val="0"/>
          <w:sz w:val="19"/>
        </w:rPr>
        <w:t>BDH-CQ technical report — Engdahl, Kosowski, Chorowski, Stamirowska, Uznański, Jiang, Phadke, Kinas, Zhong</w:t>
        <w:br/>
      </w:r>
      <w:r>
        <w:rPr>
          <w:b w:val="0"/>
          <w:i w:val="0"/>
          <w:color w:val="595959"/>
          <w:sz w:val="19"/>
        </w:rPr>
        <w:t>arXiv:2608.09888  ·  https://arxiv.org/abs/2608.09888</w:t>
      </w:r>
    </w:p>
    <w:p>
      <w:pPr>
        <w:spacing w:after="100"/>
      </w:pPr>
      <w:r>
        <w:rPr>
          <w:b/>
          <w:i w:val="0"/>
          <w:sz w:val="19"/>
        </w:rPr>
        <w:t>Official BDH implementation (toy) — MIT licence</w:t>
        <w:br/>
      </w:r>
      <w:r>
        <w:rPr>
          <w:b w:val="0"/>
          <w:i w:val="0"/>
          <w:color w:val="595959"/>
          <w:sz w:val="19"/>
        </w:rPr>
        <w:t>https://github.com/pathwaycom/bdh</w:t>
      </w:r>
    </w:p>
    <w:p>
      <w:pPr>
        <w:spacing w:after="100"/>
      </w:pPr>
      <w:r>
        <w:rPr>
          <w:b/>
          <w:i w:val="0"/>
          <w:sz w:val="19"/>
        </w:rPr>
        <w:t>ARC task generator — MIT licence</w:t>
        <w:br/>
      </w:r>
      <w:r>
        <w:rPr>
          <w:b w:val="0"/>
          <w:i w:val="0"/>
          <w:color w:val="595959"/>
          <w:sz w:val="19"/>
        </w:rPr>
        <w:t>https://github.com/pathwaycom/arc-task-gen</w:t>
      </w:r>
    </w:p>
    <w:p>
      <w:pPr>
        <w:spacing w:after="100"/>
      </w:pPr>
      <w:r>
        <w:rPr>
          <w:b/>
          <w:i w:val="0"/>
          <w:sz w:val="19"/>
        </w:rPr>
        <w:t>Pathway BDH explainer (secondary)</w:t>
        <w:br/>
      </w:r>
      <w:r>
        <w:rPr>
          <w:b w:val="0"/>
          <w:i w:val="0"/>
          <w:color w:val="595959"/>
          <w:sz w:val="19"/>
        </w:rPr>
        <w:t>https://pathway.com/research/bdh-explainer</w:t>
      </w:r>
    </w:p>
    <w:p>
      <w:pPr>
        <w:spacing w:after="100"/>
      </w:pPr>
      <w:r>
        <w:rPr>
          <w:b/>
          <w:i w:val="0"/>
          <w:sz w:val="19"/>
        </w:rPr>
        <w:t>BDH-CQ announcement (secondary)</w:t>
        <w:br/>
      </w:r>
      <w:r>
        <w:rPr>
          <w:b w:val="0"/>
          <w:i w:val="0"/>
          <w:color w:val="595959"/>
          <w:sz w:val="19"/>
        </w:rPr>
        <w:t>https://pathway.com/research/introducing-bdh-cq</w:t>
      </w:r>
    </w:p>
    <w:p/>
    <w:p>
      <w:r>
        <w:rPr>
          <w:b/>
          <w:i/>
          <w:sz w:val="18"/>
        </w:rPr>
        <w:t xml:space="preserve">Note on sourcing: </w:t>
      </w:r>
      <w:r>
        <w:rPr>
          <w:b w:val="0"/>
          <w:i/>
          <w:color w:val="595959"/>
          <w:sz w:val="18"/>
        </w:rPr>
        <w:t>every figure in this document was read from the primary PDFs, not from summaries. Both PDFs are in the repository under ps/. Before any number reaches the artefact or the one-page summary, it should be re-verified at the cited table by whoever writes it — including the numbers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