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Applicant Name: Svitlana Kovalivska</w:t>
      </w:r>
    </w:p>
    <w:p w:rsidR="00000000" w:rsidDel="00000000" w:rsidP="00000000" w:rsidRDefault="00000000" w:rsidRPr="00000000" w14:paraId="00000002">
      <w:pPr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Results:</w:t>
      </w:r>
    </w:p>
    <w:p w:rsidR="00000000" w:rsidDel="00000000" w:rsidP="00000000" w:rsidRDefault="00000000" w:rsidRPr="00000000" w14:paraId="00000004">
      <w:pPr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5.8"/>
        <w:gridCol w:w="1805.8"/>
        <w:gridCol w:w="1805.8"/>
        <w:gridCol w:w="1805.8"/>
        <w:gridCol w:w="1805.8"/>
        <w:tblGridChange w:id="0">
          <w:tblGrid>
            <w:gridCol w:w="1805.8"/>
            <w:gridCol w:w="1805.8"/>
            <w:gridCol w:w="1805.8"/>
            <w:gridCol w:w="1805.8"/>
            <w:gridCol w:w="1805.8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total loans count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ratio of closed loans count  vs total loans count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sum of currently expired deals amount over 30+ days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2333123.xml</w:t>
            </w:r>
          </w:p>
        </w:tc>
        <w:tc>
          <w:tcPr>
            <w:tcBorders>
              <w:top w:color="3d444d" w:space="0" w:sz="4" w:val="single"/>
              <w:left w:color="3d444d" w:space="0" w:sz="4" w:val="single"/>
              <w:bottom w:color="3d444d" w:space="0" w:sz="4" w:val="single"/>
              <w:right w:color="3d444d" w:space="0" w:sz="4" w:val="single"/>
            </w:tcBorders>
            <w:tcMar>
              <w:top w:w="100.0" w:type="dxa"/>
              <w:left w:w="200.0" w:type="dxa"/>
              <w:bottom w:w="100.0" w:type="dxa"/>
              <w:right w:w="2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416</w:t>
            </w:r>
          </w:p>
        </w:tc>
        <w:tc>
          <w:tcPr>
            <w:tcBorders>
              <w:top w:color="3d444d" w:space="0" w:sz="4" w:val="single"/>
              <w:left w:color="3d444d" w:space="0" w:sz="4" w:val="single"/>
              <w:bottom w:color="3d444d" w:space="0" w:sz="4" w:val="single"/>
              <w:right w:color="3d444d" w:space="0" w:sz="4" w:val="single"/>
            </w:tcBorders>
            <w:tcMar>
              <w:top w:w="100.0" w:type="dxa"/>
              <w:left w:w="200.0" w:type="dxa"/>
              <w:bottom w:w="100.0" w:type="dxa"/>
              <w:right w:w="2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398</w:t>
            </w:r>
          </w:p>
        </w:tc>
        <w:tc>
          <w:tcPr>
            <w:tcBorders>
              <w:top w:color="3d444d" w:space="0" w:sz="4" w:val="single"/>
              <w:left w:color="3d444d" w:space="0" w:sz="4" w:val="single"/>
              <w:bottom w:color="3d444d" w:space="0" w:sz="4" w:val="single"/>
              <w:right w:color="3d444d" w:space="0" w:sz="4" w:val="single"/>
            </w:tcBorders>
            <w:tcMar>
              <w:top w:w="100.0" w:type="dxa"/>
              <w:left w:w="200.0" w:type="dxa"/>
              <w:bottom w:w="100.0" w:type="dxa"/>
              <w:right w:w="2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0.9567 (95.67%)</w:t>
            </w:r>
          </w:p>
        </w:tc>
        <w:tc>
          <w:tcPr>
            <w:tcBorders>
              <w:top w:color="3d444d" w:space="0" w:sz="4" w:val="single"/>
              <w:left w:color="3d444d" w:space="0" w:sz="4" w:val="single"/>
              <w:bottom w:color="3d444d" w:space="0" w:sz="4" w:val="single"/>
              <w:right w:color="3d444d" w:space="0" w:sz="4" w:val="single"/>
            </w:tcBorders>
            <w:tcMar>
              <w:top w:w="100.0" w:type="dxa"/>
              <w:left w:w="200.0" w:type="dxa"/>
              <w:bottom w:w="100.0" w:type="dxa"/>
              <w:right w:w="2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0.00 UAH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2402782.xml</w:t>
            </w:r>
          </w:p>
        </w:tc>
        <w:tc>
          <w:tcPr>
            <w:tcBorders>
              <w:top w:color="3d444d" w:space="0" w:sz="4" w:val="single"/>
              <w:left w:color="3d444d" w:space="0" w:sz="4" w:val="single"/>
              <w:bottom w:color="3d444d" w:space="0" w:sz="4" w:val="single"/>
              <w:right w:color="3d444d" w:space="0" w:sz="4" w:val="single"/>
            </w:tcBorders>
            <w:tcMar>
              <w:top w:w="100.0" w:type="dxa"/>
              <w:left w:w="200.0" w:type="dxa"/>
              <w:bottom w:w="100.0" w:type="dxa"/>
              <w:right w:w="2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23</w:t>
            </w:r>
          </w:p>
        </w:tc>
        <w:tc>
          <w:tcPr>
            <w:tcBorders>
              <w:top w:color="3d444d" w:space="0" w:sz="4" w:val="single"/>
              <w:left w:color="3d444d" w:space="0" w:sz="4" w:val="single"/>
              <w:bottom w:color="3d444d" w:space="0" w:sz="4" w:val="single"/>
              <w:right w:color="3d444d" w:space="0" w:sz="4" w:val="single"/>
            </w:tcBorders>
            <w:tcMar>
              <w:top w:w="100.0" w:type="dxa"/>
              <w:left w:w="200.0" w:type="dxa"/>
              <w:bottom w:w="100.0" w:type="dxa"/>
              <w:right w:w="2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9</w:t>
            </w:r>
          </w:p>
        </w:tc>
        <w:tc>
          <w:tcPr>
            <w:tcBorders>
              <w:top w:color="3d444d" w:space="0" w:sz="4" w:val="single"/>
              <w:left w:color="3d444d" w:space="0" w:sz="4" w:val="single"/>
              <w:bottom w:color="3d444d" w:space="0" w:sz="4" w:val="single"/>
              <w:right w:color="3d444d" w:space="0" w:sz="4" w:val="single"/>
            </w:tcBorders>
            <w:tcMar>
              <w:top w:w="100.0" w:type="dxa"/>
              <w:left w:w="200.0" w:type="dxa"/>
              <w:bottom w:w="100.0" w:type="dxa"/>
              <w:right w:w="2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0.3913 (39.13%)</w:t>
            </w:r>
          </w:p>
        </w:tc>
        <w:tc>
          <w:tcPr>
            <w:tcBorders>
              <w:top w:color="3d444d" w:space="0" w:sz="4" w:val="single"/>
              <w:left w:color="3d444d" w:space="0" w:sz="4" w:val="single"/>
              <w:bottom w:color="3d444d" w:space="0" w:sz="4" w:val="single"/>
              <w:right w:color="3d444d" w:space="0" w:sz="4" w:val="single"/>
            </w:tcBorders>
            <w:tcMar>
              <w:top w:w="100.0" w:type="dxa"/>
              <w:left w:w="200.0" w:type="dxa"/>
              <w:bottom w:w="100.0" w:type="dxa"/>
              <w:right w:w="2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0.00 UAH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2426982.xml</w:t>
            </w:r>
          </w:p>
        </w:tc>
        <w:tc>
          <w:tcPr>
            <w:tcBorders>
              <w:top w:color="3d444d" w:space="0" w:sz="4" w:val="single"/>
              <w:left w:color="3d444d" w:space="0" w:sz="4" w:val="single"/>
              <w:bottom w:color="3d444d" w:space="0" w:sz="4" w:val="single"/>
              <w:right w:color="3d444d" w:space="0" w:sz="4" w:val="single"/>
            </w:tcBorders>
            <w:tcMar>
              <w:top w:w="100.0" w:type="dxa"/>
              <w:left w:w="200.0" w:type="dxa"/>
              <w:bottom w:w="100.0" w:type="dxa"/>
              <w:right w:w="2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20</w:t>
            </w:r>
          </w:p>
        </w:tc>
        <w:tc>
          <w:tcPr>
            <w:tcBorders>
              <w:top w:color="3d444d" w:space="0" w:sz="4" w:val="single"/>
              <w:left w:color="3d444d" w:space="0" w:sz="4" w:val="single"/>
              <w:bottom w:color="3d444d" w:space="0" w:sz="4" w:val="single"/>
              <w:right w:color="3d444d" w:space="0" w:sz="4" w:val="single"/>
            </w:tcBorders>
            <w:tcMar>
              <w:top w:w="100.0" w:type="dxa"/>
              <w:left w:w="200.0" w:type="dxa"/>
              <w:bottom w:w="100.0" w:type="dxa"/>
              <w:right w:w="2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7</w:t>
            </w:r>
          </w:p>
        </w:tc>
        <w:tc>
          <w:tcPr>
            <w:tcBorders>
              <w:top w:color="3d444d" w:space="0" w:sz="4" w:val="single"/>
              <w:left w:color="3d444d" w:space="0" w:sz="4" w:val="single"/>
              <w:bottom w:color="3d444d" w:space="0" w:sz="4" w:val="single"/>
              <w:right w:color="3d444d" w:space="0" w:sz="4" w:val="single"/>
            </w:tcBorders>
            <w:tcMar>
              <w:top w:w="100.0" w:type="dxa"/>
              <w:left w:w="200.0" w:type="dxa"/>
              <w:bottom w:w="100.0" w:type="dxa"/>
              <w:right w:w="2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0.3500 (35.00%)</w:t>
            </w:r>
          </w:p>
        </w:tc>
        <w:tc>
          <w:tcPr>
            <w:tcBorders>
              <w:top w:color="3d444d" w:space="0" w:sz="4" w:val="single"/>
              <w:left w:color="3d444d" w:space="0" w:sz="4" w:val="single"/>
              <w:bottom w:color="3d444d" w:space="0" w:sz="4" w:val="single"/>
              <w:right w:color="3d444d" w:space="0" w:sz="4" w:val="single"/>
            </w:tcBorders>
            <w:tcMar>
              <w:top w:w="100.0" w:type="dxa"/>
              <w:left w:w="200.0" w:type="dxa"/>
              <w:bottom w:w="100.0" w:type="dxa"/>
              <w:right w:w="2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0.00 UAH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2441859.xml</w:t>
            </w:r>
          </w:p>
        </w:tc>
        <w:tc>
          <w:tcPr>
            <w:tcBorders>
              <w:top w:color="3d444d" w:space="0" w:sz="4" w:val="single"/>
              <w:left w:color="3d444d" w:space="0" w:sz="4" w:val="single"/>
              <w:bottom w:color="3d444d" w:space="0" w:sz="4" w:val="single"/>
              <w:right w:color="3d444d" w:space="0" w:sz="4" w:val="single"/>
            </w:tcBorders>
            <w:tcMar>
              <w:top w:w="100.0" w:type="dxa"/>
              <w:left w:w="200.0" w:type="dxa"/>
              <w:bottom w:w="100.0" w:type="dxa"/>
              <w:right w:w="2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116</w:t>
            </w:r>
          </w:p>
        </w:tc>
        <w:tc>
          <w:tcPr>
            <w:tcBorders>
              <w:top w:color="3d444d" w:space="0" w:sz="4" w:val="single"/>
              <w:left w:color="3d444d" w:space="0" w:sz="4" w:val="single"/>
              <w:bottom w:color="3d444d" w:space="0" w:sz="4" w:val="single"/>
              <w:right w:color="3d444d" w:space="0" w:sz="4" w:val="single"/>
            </w:tcBorders>
            <w:tcMar>
              <w:top w:w="100.0" w:type="dxa"/>
              <w:left w:w="200.0" w:type="dxa"/>
              <w:bottom w:w="100.0" w:type="dxa"/>
              <w:right w:w="2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107</w:t>
            </w:r>
          </w:p>
        </w:tc>
        <w:tc>
          <w:tcPr>
            <w:tcBorders>
              <w:top w:color="3d444d" w:space="0" w:sz="4" w:val="single"/>
              <w:left w:color="3d444d" w:space="0" w:sz="4" w:val="single"/>
              <w:bottom w:color="3d444d" w:space="0" w:sz="4" w:val="single"/>
              <w:right w:color="3d444d" w:space="0" w:sz="4" w:val="single"/>
            </w:tcBorders>
            <w:tcMar>
              <w:top w:w="100.0" w:type="dxa"/>
              <w:left w:w="200.0" w:type="dxa"/>
              <w:bottom w:w="100.0" w:type="dxa"/>
              <w:right w:w="2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0.9224 (92.24%)</w:t>
            </w:r>
          </w:p>
        </w:tc>
        <w:tc>
          <w:tcPr>
            <w:tcBorders>
              <w:top w:color="3d444d" w:space="0" w:sz="4" w:val="single"/>
              <w:left w:color="3d444d" w:space="0" w:sz="4" w:val="single"/>
              <w:bottom w:color="3d444d" w:space="0" w:sz="4" w:val="single"/>
              <w:right w:color="3d444d" w:space="0" w:sz="4" w:val="single"/>
            </w:tcBorders>
            <w:tcMar>
              <w:top w:w="100.0" w:type="dxa"/>
              <w:left w:w="200.0" w:type="dxa"/>
              <w:bottom w:w="100.0" w:type="dxa"/>
              <w:right w:w="2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16,585.21 UAH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2444357.xml</w:t>
            </w:r>
          </w:p>
        </w:tc>
        <w:tc>
          <w:tcPr>
            <w:tcBorders>
              <w:top w:color="3d444d" w:space="0" w:sz="4" w:val="single"/>
              <w:left w:color="3d444d" w:space="0" w:sz="4" w:val="single"/>
              <w:bottom w:color="3d444d" w:space="0" w:sz="4" w:val="single"/>
              <w:right w:color="3d444d" w:space="0" w:sz="4" w:val="single"/>
            </w:tcBorders>
            <w:tcMar>
              <w:top w:w="100.0" w:type="dxa"/>
              <w:left w:w="200.0" w:type="dxa"/>
              <w:bottom w:w="100.0" w:type="dxa"/>
              <w:right w:w="2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55</w:t>
            </w:r>
          </w:p>
        </w:tc>
        <w:tc>
          <w:tcPr>
            <w:tcBorders>
              <w:top w:color="3d444d" w:space="0" w:sz="4" w:val="single"/>
              <w:left w:color="3d444d" w:space="0" w:sz="4" w:val="single"/>
              <w:bottom w:color="3d444d" w:space="0" w:sz="4" w:val="single"/>
              <w:right w:color="3d444d" w:space="0" w:sz="4" w:val="single"/>
            </w:tcBorders>
            <w:tcMar>
              <w:top w:w="100.0" w:type="dxa"/>
              <w:left w:w="200.0" w:type="dxa"/>
              <w:bottom w:w="100.0" w:type="dxa"/>
              <w:right w:w="2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47</w:t>
            </w:r>
          </w:p>
        </w:tc>
        <w:tc>
          <w:tcPr>
            <w:tcBorders>
              <w:top w:color="3d444d" w:space="0" w:sz="4" w:val="single"/>
              <w:left w:color="3d444d" w:space="0" w:sz="4" w:val="single"/>
              <w:bottom w:color="3d444d" w:space="0" w:sz="4" w:val="single"/>
              <w:right w:color="3d444d" w:space="0" w:sz="4" w:val="single"/>
            </w:tcBorders>
            <w:tcMar>
              <w:top w:w="100.0" w:type="dxa"/>
              <w:left w:w="200.0" w:type="dxa"/>
              <w:bottom w:w="100.0" w:type="dxa"/>
              <w:right w:w="2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0.8545 (85.45%)</w:t>
            </w:r>
          </w:p>
        </w:tc>
        <w:tc>
          <w:tcPr>
            <w:tcBorders>
              <w:top w:color="3d444d" w:space="0" w:sz="4" w:val="single"/>
              <w:left w:color="3d444d" w:space="0" w:sz="4" w:val="single"/>
              <w:bottom w:color="3d444d" w:space="0" w:sz="4" w:val="single"/>
              <w:right w:color="3d444d" w:space="0" w:sz="4" w:val="single"/>
            </w:tcBorders>
            <w:tcMar>
              <w:top w:w="100.0" w:type="dxa"/>
              <w:left w:w="200.0" w:type="dxa"/>
              <w:bottom w:w="100.0" w:type="dxa"/>
              <w:right w:w="2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72,383.46 UAH</w:t>
            </w:r>
          </w:p>
        </w:tc>
      </w:tr>
    </w:tbl>
    <w:p w:rsidR="00000000" w:rsidDel="00000000" w:rsidP="00000000" w:rsidRDefault="00000000" w:rsidRPr="00000000" w14:paraId="00000023">
      <w:pPr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Comments:</w:t>
      </w:r>
    </w:p>
    <w:p w:rsidR="00000000" w:rsidDel="00000000" w:rsidP="00000000" w:rsidRDefault="00000000" w:rsidRPr="00000000" w14:paraId="00000025">
      <w:pPr>
        <w:numPr>
          <w:ilvl w:val="0"/>
          <w:numId w:val="8"/>
        </w:numP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Total clients analyzed: 5</w:t>
      </w:r>
    </w:p>
    <w:p w:rsidR="00000000" w:rsidDel="00000000" w:rsidP="00000000" w:rsidRDefault="00000000" w:rsidRPr="00000000" w14:paraId="00000026">
      <w:pPr>
        <w:numPr>
          <w:ilvl w:val="0"/>
          <w:numId w:val="8"/>
        </w:numP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Total credit deals: 634</w:t>
      </w:r>
    </w:p>
    <w:p w:rsidR="00000000" w:rsidDel="00000000" w:rsidP="00000000" w:rsidRDefault="00000000" w:rsidRPr="00000000" w14:paraId="00000027">
      <w:pPr>
        <w:numPr>
          <w:ilvl w:val="0"/>
          <w:numId w:val="8"/>
        </w:numP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Overall portfolio closure rate: 69.50%</w:t>
      </w:r>
    </w:p>
    <w:p w:rsidR="00000000" w:rsidDel="00000000" w:rsidP="00000000" w:rsidRDefault="00000000" w:rsidRPr="00000000" w14:paraId="00000028">
      <w:pPr>
        <w:numPr>
          <w:ilvl w:val="0"/>
          <w:numId w:val="8"/>
        </w:numPr>
        <w:spacing w:after="1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Total expired debt (30+ days): 88,968.67 UAH</w:t>
      </w:r>
    </w:p>
    <w:p w:rsidR="00000000" w:rsidDel="00000000" w:rsidP="00000000" w:rsidRDefault="00000000" w:rsidRPr="00000000" w14:paraId="00000029">
      <w:pPr>
        <w:rPr>
          <w:b w:val="1"/>
          <w:bCs w:val="1"/>
          <w:color w:val="33333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keepNext w:val="0"/>
        <w:keepLines w:val="0"/>
        <w:pBdr>
          <w:bottom w:color="auto" w:space="5" w:sz="0" w:val="none"/>
        </w:pBdr>
        <w:spacing w:after="240" w:line="300" w:lineRule="auto"/>
        <w:rPr>
          <w:b w:val="1"/>
          <w:bCs w:val="1"/>
          <w:color w:val="333333"/>
          <w:sz w:val="34"/>
          <w:szCs w:val="34"/>
        </w:rPr>
      </w:pPr>
      <w:bookmarkStart w:colFirst="0" w:colLast="0" w:name="_fvly3kybnmqr" w:id="0"/>
      <w:bookmarkEnd w:id="0"/>
      <w:r w:rsidDel="00000000" w:rsidR="00000000" w:rsidRPr="00000000">
        <w:rPr>
          <w:b w:val="1"/>
          <w:bCs w:val="1"/>
          <w:color w:val="333333"/>
          <w:sz w:val="34"/>
          <w:szCs w:val="34"/>
          <w:rtl w:val="0"/>
        </w:rPr>
        <w:t xml:space="preserve">Key Findings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Portfolio Health: Mixed portfolio performance with clients showing varied closure rates (35%-96%)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Risk Concentration: Two clients (2441859 and 2444357) have significant expired debt exposure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Performance Variation: Strong performers (2333123, 2441859) vs. weaker performers (2402782, 2426982)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Currency: All transactions are in Ukrainian Hryvnia (UAH)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1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Data Quality: Complete historical data available for all deals</w:t>
      </w:r>
    </w:p>
    <w:p w:rsidR="00000000" w:rsidDel="00000000" w:rsidP="00000000" w:rsidRDefault="00000000" w:rsidRPr="00000000" w14:paraId="00000030">
      <w:pPr>
        <w:pStyle w:val="Heading2"/>
        <w:keepNext w:val="0"/>
        <w:keepLines w:val="0"/>
        <w:pBdr>
          <w:bottom w:color="auto" w:space="5" w:sz="0" w:val="none"/>
        </w:pBdr>
        <w:spacing w:after="240" w:line="300" w:lineRule="auto"/>
        <w:rPr>
          <w:b w:val="1"/>
          <w:bCs w:val="1"/>
          <w:color w:val="333333"/>
          <w:sz w:val="34"/>
          <w:szCs w:val="34"/>
        </w:rPr>
      </w:pPr>
      <w:bookmarkStart w:colFirst="0" w:colLast="0" w:name="_nrhqx2ldxzqc" w:id="1"/>
      <w:bookmarkEnd w:id="1"/>
      <w:r w:rsidDel="00000000" w:rsidR="00000000" w:rsidRPr="00000000">
        <w:rPr>
          <w:b w:val="1"/>
          <w:bCs w:val="1"/>
          <w:color w:val="333333"/>
          <w:sz w:val="34"/>
          <w:szCs w:val="34"/>
          <w:rtl w:val="0"/>
        </w:rPr>
        <w:t xml:space="preserve">Technical Implementation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b w:val="1"/>
          <w:bCs w:val="1"/>
          <w:rtl w:val="0"/>
        </w:rPr>
        <w:t xml:space="preserve">GitHub</w:t>
      </w:r>
      <w:r w:rsidDel="00000000" w:rsidR="00000000" w:rsidRPr="00000000">
        <w:rPr>
          <w:rtl w:val="0"/>
        </w:rPr>
        <w:br w:type="textWrapping"/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https://github.com/Kovalivska/Finhike.git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spacing w:after="240" w:before="360" w:line="300" w:lineRule="auto"/>
        <w:rPr>
          <w:b w:val="1"/>
          <w:bCs w:val="1"/>
          <w:color w:val="333333"/>
          <w:sz w:val="33"/>
          <w:szCs w:val="33"/>
        </w:rPr>
      </w:pPr>
      <w:bookmarkStart w:colFirst="0" w:colLast="0" w:name="_d9d985ywij0p" w:id="2"/>
      <w:bookmarkEnd w:id="2"/>
      <w:r w:rsidDel="00000000" w:rsidR="00000000" w:rsidRPr="00000000">
        <w:rPr>
          <w:b w:val="1"/>
          <w:bCs w:val="1"/>
          <w:color w:val="333333"/>
          <w:sz w:val="33"/>
          <w:szCs w:val="33"/>
          <w:rtl w:val="0"/>
        </w:rPr>
        <w:t xml:space="preserve">Solution Architecture:</w:t>
      </w:r>
    </w:p>
    <w:p w:rsidR="00000000" w:rsidDel="00000000" w:rsidP="00000000" w:rsidRDefault="00000000" w:rsidRPr="00000000" w14:paraId="00000033">
      <w:pPr>
        <w:numPr>
          <w:ilvl w:val="0"/>
          <w:numId w:val="7"/>
        </w:numP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Primary Solution: Python script 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33333"/>
          <w:sz w:val="21"/>
          <w:szCs w:val="21"/>
          <w:rtl w:val="0"/>
        </w:rPr>
        <w:t xml:space="preserve">xml_processor.py</w:t>
      </w: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34">
      <w:pPr>
        <w:numPr>
          <w:ilvl w:val="0"/>
          <w:numId w:val="7"/>
        </w:numP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Alternative Solution: SQL queries 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33333"/>
          <w:sz w:val="21"/>
          <w:szCs w:val="21"/>
          <w:rtl w:val="0"/>
        </w:rPr>
        <w:t xml:space="preserve">sql_solution.sql</w:t>
      </w: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35">
      <w:pPr>
        <w:numPr>
          <w:ilvl w:val="0"/>
          <w:numId w:val="7"/>
        </w:numP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Data Processing: Pandas library for tabular operations</w:t>
      </w:r>
    </w:p>
    <w:p w:rsidR="00000000" w:rsidDel="00000000" w:rsidP="00000000" w:rsidRDefault="00000000" w:rsidRPr="00000000" w14:paraId="00000036">
      <w:pPr>
        <w:numPr>
          <w:ilvl w:val="0"/>
          <w:numId w:val="7"/>
        </w:numPr>
        <w:spacing w:after="1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XML Parsing: ElementTree for efficient XML processing</w:t>
      </w:r>
    </w:p>
    <w:p w:rsidR="00000000" w:rsidDel="00000000" w:rsidP="00000000" w:rsidRDefault="00000000" w:rsidRPr="00000000" w14:paraId="00000037">
      <w:pPr>
        <w:pStyle w:val="Heading3"/>
        <w:keepNext w:val="0"/>
        <w:keepLines w:val="0"/>
        <w:spacing w:after="240" w:before="360" w:line="300" w:lineRule="auto"/>
        <w:rPr>
          <w:b w:val="1"/>
          <w:bCs w:val="1"/>
          <w:color w:val="333333"/>
          <w:sz w:val="33"/>
          <w:szCs w:val="33"/>
        </w:rPr>
      </w:pPr>
      <w:bookmarkStart w:colFirst="0" w:colLast="0" w:name="_o9qo1d5tiy6u" w:id="3"/>
      <w:bookmarkEnd w:id="3"/>
      <w:r w:rsidDel="00000000" w:rsidR="00000000" w:rsidRPr="00000000">
        <w:rPr>
          <w:b w:val="1"/>
          <w:bCs w:val="1"/>
          <w:color w:val="333333"/>
          <w:sz w:val="33"/>
          <w:szCs w:val="33"/>
          <w:rtl w:val="0"/>
        </w:rPr>
        <w:t xml:space="preserve">Methodology:</w:t>
      </w:r>
    </w:p>
    <w:p w:rsidR="00000000" w:rsidDel="00000000" w:rsidP="00000000" w:rsidRDefault="00000000" w:rsidRPr="00000000" w14:paraId="00000038">
      <w:pPr>
        <w:numPr>
          <w:ilvl w:val="0"/>
          <w:numId w:val="4"/>
        </w:numP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Total Count of Loans:</w:t>
      </w:r>
    </w:p>
    <w:p w:rsidR="00000000" w:rsidDel="00000000" w:rsidP="00000000" w:rsidRDefault="00000000" w:rsidRPr="00000000" w14:paraId="00000039">
      <w:pPr>
        <w:numPr>
          <w:ilvl w:val="1"/>
          <w:numId w:val="4"/>
        </w:numPr>
        <w:spacing w:after="0" w:after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Counted unique deal IDs 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33333"/>
          <w:sz w:val="21"/>
          <w:szCs w:val="21"/>
          <w:rtl w:val="0"/>
        </w:rPr>
        <w:t xml:space="preserve">dlref</w:t>
      </w: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) per client</w:t>
      </w:r>
    </w:p>
    <w:p w:rsidR="00000000" w:rsidDel="00000000" w:rsidP="00000000" w:rsidRDefault="00000000" w:rsidRPr="00000000" w14:paraId="0000003A">
      <w:pPr>
        <w:numPr>
          <w:ilvl w:val="0"/>
          <w:numId w:val="4"/>
        </w:numP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Closed Loans Ratio:</w:t>
      </w:r>
    </w:p>
    <w:p w:rsidR="00000000" w:rsidDel="00000000" w:rsidP="00000000" w:rsidRDefault="00000000" w:rsidRPr="00000000" w14:paraId="0000003B">
      <w:pPr>
        <w:numPr>
          <w:ilvl w:val="1"/>
          <w:numId w:val="4"/>
        </w:numPr>
        <w:spacing w:after="0" w:after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Identified closed loans by presence of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33333"/>
          <w:sz w:val="21"/>
          <w:szCs w:val="21"/>
          <w:rtl w:val="0"/>
        </w:rPr>
        <w:t xml:space="preserve">actual_end_date</w:t>
      </w: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 (dldff)</w:t>
      </w:r>
    </w:p>
    <w:p w:rsidR="00000000" w:rsidDel="00000000" w:rsidP="00000000" w:rsidRDefault="00000000" w:rsidRPr="00000000" w14:paraId="0000003C">
      <w:pPr>
        <w:numPr>
          <w:ilvl w:val="1"/>
          <w:numId w:val="4"/>
        </w:numPr>
        <w:spacing w:after="0" w:after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Calculated ratio: closed_loans / total_loans</w:t>
      </w:r>
    </w:p>
    <w:p w:rsidR="00000000" w:rsidDel="00000000" w:rsidP="00000000" w:rsidRDefault="00000000" w:rsidRPr="00000000" w14:paraId="0000003D">
      <w:pPr>
        <w:numPr>
          <w:ilvl w:val="0"/>
          <w:numId w:val="4"/>
        </w:numP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Expired Debt 30+ Days:</w:t>
      </w:r>
    </w:p>
    <w:p w:rsidR="00000000" w:rsidDel="00000000" w:rsidP="00000000" w:rsidRDefault="00000000" w:rsidRPr="00000000" w14:paraId="0000003E">
      <w:pPr>
        <w:numPr>
          <w:ilvl w:val="1"/>
          <w:numId w:val="4"/>
        </w:numPr>
        <w:spacing w:after="0" w:after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Filtered records where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33333"/>
          <w:sz w:val="21"/>
          <w:szCs w:val="21"/>
          <w:rtl w:val="0"/>
        </w:rPr>
        <w:t xml:space="preserve">days_overdue</w:t>
      </w: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 &gt; 30</w:t>
      </w:r>
    </w:p>
    <w:p w:rsidR="00000000" w:rsidDel="00000000" w:rsidP="00000000" w:rsidRDefault="00000000" w:rsidRPr="00000000" w14:paraId="0000003F">
      <w:pPr>
        <w:numPr>
          <w:ilvl w:val="1"/>
          <w:numId w:val="4"/>
        </w:numPr>
        <w:spacing w:after="0" w:after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Summed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33333"/>
          <w:sz w:val="21"/>
          <w:szCs w:val="21"/>
          <w:rtl w:val="0"/>
        </w:rPr>
        <w:t xml:space="preserve">overdue_debt</w:t>
      </w: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 amounts for qualifying deals</w:t>
      </w:r>
    </w:p>
    <w:p w:rsidR="00000000" w:rsidDel="00000000" w:rsidP="00000000" w:rsidRDefault="00000000" w:rsidRPr="00000000" w14:paraId="00000040">
      <w:pPr>
        <w:numPr>
          <w:ilvl w:val="1"/>
          <w:numId w:val="4"/>
        </w:numPr>
        <w:spacing w:after="28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Used latest status per deal to avoid double counting</w:t>
      </w:r>
    </w:p>
    <w:p w:rsidR="00000000" w:rsidDel="00000000" w:rsidP="00000000" w:rsidRDefault="00000000" w:rsidRPr="00000000" w14:paraId="00000041">
      <w:pPr>
        <w:pStyle w:val="Heading3"/>
        <w:keepNext w:val="0"/>
        <w:keepLines w:val="0"/>
        <w:spacing w:after="240" w:before="360" w:line="300" w:lineRule="auto"/>
        <w:rPr>
          <w:b w:val="1"/>
          <w:bCs w:val="1"/>
          <w:color w:val="333333"/>
          <w:sz w:val="33"/>
          <w:szCs w:val="33"/>
        </w:rPr>
      </w:pPr>
      <w:bookmarkStart w:colFirst="0" w:colLast="0" w:name="_xydt156pk21h" w:id="4"/>
      <w:bookmarkEnd w:id="4"/>
      <w:r w:rsidDel="00000000" w:rsidR="00000000" w:rsidRPr="00000000">
        <w:rPr>
          <w:b w:val="1"/>
          <w:bCs w:val="1"/>
          <w:color w:val="333333"/>
          <w:sz w:val="33"/>
          <w:szCs w:val="33"/>
          <w:rtl w:val="0"/>
        </w:rPr>
        <w:t xml:space="preserve">Data Structure Insights:</w:t>
      </w:r>
    </w:p>
    <w:p w:rsidR="00000000" w:rsidDel="00000000" w:rsidP="00000000" w:rsidRDefault="00000000" w:rsidRPr="00000000" w14:paraId="00000042">
      <w:pPr>
        <w:numPr>
          <w:ilvl w:val="0"/>
          <w:numId w:val="6"/>
        </w:numP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XML uses attribute-based storage rather than element text</w:t>
      </w:r>
    </w:p>
    <w:p w:rsidR="00000000" w:rsidDel="00000000" w:rsidP="00000000" w:rsidRDefault="00000000" w:rsidRPr="00000000" w14:paraId="00000043">
      <w:pPr>
        <w:numPr>
          <w:ilvl w:val="0"/>
          <w:numId w:val="6"/>
        </w:numP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Each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33333"/>
          <w:sz w:val="21"/>
          <w:szCs w:val="21"/>
          <w:rtl w:val="0"/>
        </w:rPr>
        <w:t xml:space="preserve">crdeal</w:t>
      </w: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 contains multiple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33333"/>
          <w:sz w:val="21"/>
          <w:szCs w:val="21"/>
          <w:rtl w:val="0"/>
        </w:rPr>
        <w:t xml:space="preserve">deallife</w:t>
      </w: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 historical periods</w:t>
      </w:r>
    </w:p>
    <w:p w:rsidR="00000000" w:rsidDel="00000000" w:rsidP="00000000" w:rsidRDefault="00000000" w:rsidRPr="00000000" w14:paraId="00000044">
      <w:pPr>
        <w:numPr>
          <w:ilvl w:val="0"/>
          <w:numId w:val="6"/>
        </w:numP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Deal status tracking enables closure identification</w:t>
      </w:r>
    </w:p>
    <w:p w:rsidR="00000000" w:rsidDel="00000000" w:rsidP="00000000" w:rsidRDefault="00000000" w:rsidRPr="00000000" w14:paraId="00000045">
      <w:pPr>
        <w:numPr>
          <w:ilvl w:val="0"/>
          <w:numId w:val="6"/>
        </w:numPr>
        <w:spacing w:after="1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Overdue tracking supports risk analysis</w:t>
      </w:r>
    </w:p>
    <w:p w:rsidR="00000000" w:rsidDel="00000000" w:rsidP="00000000" w:rsidRDefault="00000000" w:rsidRPr="00000000" w14:paraId="00000046">
      <w:pPr>
        <w:pStyle w:val="Heading2"/>
        <w:keepNext w:val="0"/>
        <w:keepLines w:val="0"/>
        <w:pBdr>
          <w:bottom w:color="auto" w:space="5" w:sz="0" w:val="none"/>
        </w:pBdr>
        <w:spacing w:after="240" w:line="300" w:lineRule="auto"/>
        <w:rPr>
          <w:b w:val="1"/>
          <w:bCs w:val="1"/>
          <w:color w:val="333333"/>
          <w:sz w:val="34"/>
          <w:szCs w:val="34"/>
        </w:rPr>
      </w:pPr>
      <w:bookmarkStart w:colFirst="0" w:colLast="0" w:name="_4pl18ooukx75" w:id="5"/>
      <w:bookmarkEnd w:id="5"/>
      <w:r w:rsidDel="00000000" w:rsidR="00000000" w:rsidRPr="00000000">
        <w:rPr>
          <w:b w:val="1"/>
          <w:bCs w:val="1"/>
          <w:color w:val="333333"/>
          <w:sz w:val="34"/>
          <w:szCs w:val="34"/>
          <w:rtl w:val="0"/>
        </w:rPr>
        <w:t xml:space="preserve">Files Delivered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xml_processor.py - Main Python processing script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sql_solution.sql - Alternative SQL solution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client_metrics_results.csv - Final calculated metrics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detailed_credit_data.csv - Complete tabular dataset</w:t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README.md - Technical documentation</w:t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spacing w:after="1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This report - Results summary</w:t>
      </w:r>
    </w:p>
    <w:p w:rsidR="00000000" w:rsidDel="00000000" w:rsidP="00000000" w:rsidRDefault="00000000" w:rsidRPr="00000000" w14:paraId="0000004D">
      <w:pPr>
        <w:pStyle w:val="Heading2"/>
        <w:keepNext w:val="0"/>
        <w:keepLines w:val="0"/>
        <w:pBdr>
          <w:bottom w:color="auto" w:space="5" w:sz="0" w:val="none"/>
        </w:pBdr>
        <w:spacing w:after="240" w:line="300" w:lineRule="auto"/>
        <w:rPr>
          <w:b w:val="1"/>
          <w:bCs w:val="1"/>
          <w:color w:val="333333"/>
          <w:sz w:val="34"/>
          <w:szCs w:val="34"/>
        </w:rPr>
      </w:pPr>
      <w:bookmarkStart w:colFirst="0" w:colLast="0" w:name="_jv8cr6cbn2no" w:id="6"/>
      <w:bookmarkEnd w:id="6"/>
      <w:r w:rsidDel="00000000" w:rsidR="00000000" w:rsidRPr="00000000">
        <w:rPr>
          <w:b w:val="1"/>
          <w:bCs w:val="1"/>
          <w:color w:val="333333"/>
          <w:sz w:val="34"/>
          <w:szCs w:val="34"/>
          <w:rtl w:val="0"/>
        </w:rPr>
        <w:t xml:space="preserve">Recommendations</w:t>
      </w:r>
    </w:p>
    <w:p w:rsidR="00000000" w:rsidDel="00000000" w:rsidP="00000000" w:rsidRDefault="00000000" w:rsidRPr="00000000" w14:paraId="0000004E">
      <w:pPr>
        <w:numPr>
          <w:ilvl w:val="0"/>
          <w:numId w:val="5"/>
        </w:numP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Risk Monitoring: Focus on clients 2441859 and 2444357 due to expired debt exposure totaling 88,968.67 UAH</w:t>
      </w:r>
    </w:p>
    <w:p w:rsidR="00000000" w:rsidDel="00000000" w:rsidP="00000000" w:rsidRDefault="00000000" w:rsidRPr="00000000" w14:paraId="0000004F">
      <w:pPr>
        <w:numPr>
          <w:ilvl w:val="0"/>
          <w:numId w:val="5"/>
        </w:numP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Portfolio Diversification: Investigate low-performing clients (2402782, 2426982) with closure rates below 40%</w:t>
      </w:r>
    </w:p>
    <w:p w:rsidR="00000000" w:rsidDel="00000000" w:rsidP="00000000" w:rsidRDefault="00000000" w:rsidRPr="00000000" w14:paraId="00000050">
      <w:pPr>
        <w:numPr>
          <w:ilvl w:val="0"/>
          <w:numId w:val="5"/>
        </w:numP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Best Practices: Study high-performing client 2333123 (95.67% closure rate) for process improvement</w:t>
      </w:r>
    </w:p>
    <w:p w:rsidR="00000000" w:rsidDel="00000000" w:rsidP="00000000" w:rsidRDefault="00000000" w:rsidRPr="00000000" w14:paraId="00000051">
      <w:pPr>
        <w:numPr>
          <w:ilvl w:val="0"/>
          <w:numId w:val="5"/>
        </w:numP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Process Automation: Implement regular batch processing for ongoing monitoring</w:t>
      </w:r>
    </w:p>
    <w:p w:rsidR="00000000" w:rsidDel="00000000" w:rsidP="00000000" w:rsidRDefault="00000000" w:rsidRPr="00000000" w14:paraId="00000052">
      <w:pPr>
        <w:numPr>
          <w:ilvl w:val="0"/>
          <w:numId w:val="5"/>
        </w:numPr>
        <w:spacing w:after="1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Performance Optimization: For larger datasets, consider database storage and SQL processing</w:t>
      </w:r>
    </w:p>
    <w:p w:rsidR="00000000" w:rsidDel="00000000" w:rsidP="00000000" w:rsidRDefault="00000000" w:rsidRPr="00000000" w14:paraId="00000053">
      <w:pPr>
        <w:pStyle w:val="Heading2"/>
        <w:keepNext w:val="0"/>
        <w:keepLines w:val="0"/>
        <w:pBdr>
          <w:bottom w:color="auto" w:space="5" w:sz="0" w:val="none"/>
        </w:pBdr>
        <w:spacing w:after="240" w:line="300" w:lineRule="auto"/>
        <w:rPr>
          <w:b w:val="1"/>
          <w:bCs w:val="1"/>
          <w:color w:val="333333"/>
          <w:sz w:val="34"/>
          <w:szCs w:val="34"/>
        </w:rPr>
      </w:pPr>
      <w:bookmarkStart w:colFirst="0" w:colLast="0" w:name="_d3tdru90k55k" w:id="7"/>
      <w:bookmarkEnd w:id="7"/>
      <w:r w:rsidDel="00000000" w:rsidR="00000000" w:rsidRPr="00000000">
        <w:rPr>
          <w:b w:val="1"/>
          <w:bCs w:val="1"/>
          <w:color w:val="333333"/>
          <w:sz w:val="34"/>
          <w:szCs w:val="34"/>
          <w:rtl w:val="0"/>
        </w:rPr>
        <w:t xml:space="preserve">Code Reproducibility</w:t>
      </w:r>
    </w:p>
    <w:p w:rsidR="00000000" w:rsidDel="00000000" w:rsidP="00000000" w:rsidRDefault="00000000" w:rsidRPr="00000000" w14:paraId="00000054">
      <w:pPr>
        <w:spacing w:after="240" w:lineRule="auto"/>
        <w:rPr>
          <w:b w:val="1"/>
          <w:bCs w:val="1"/>
          <w:color w:val="333333"/>
          <w:sz w:val="21"/>
          <w:szCs w:val="2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The solution is fully reproducible with the following steps:</w:t>
      </w:r>
    </w:p>
    <w:p w:rsidR="00000000" w:rsidDel="00000000" w:rsidP="00000000" w:rsidRDefault="00000000" w:rsidRPr="00000000" w14:paraId="00000055">
      <w:pPr>
        <w:numPr>
          <w:ilvl w:val="0"/>
          <w:numId w:val="3"/>
        </w:numP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Install required packages: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33333"/>
          <w:sz w:val="21"/>
          <w:szCs w:val="21"/>
          <w:rtl w:val="0"/>
        </w:rPr>
        <w:t xml:space="preserve">pip install pandas lxml</w:t>
      </w:r>
    </w:p>
    <w:p w:rsidR="00000000" w:rsidDel="00000000" w:rsidP="00000000" w:rsidRDefault="00000000" w:rsidRPr="00000000" w14:paraId="00000056">
      <w:pPr>
        <w:numPr>
          <w:ilvl w:val="0"/>
          <w:numId w:val="3"/>
        </w:numP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Place XML files in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33333"/>
          <w:sz w:val="21"/>
          <w:szCs w:val="21"/>
          <w:rtl w:val="0"/>
        </w:rPr>
        <w:t xml:space="preserve">Data/</w:t>
      </w: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 folder</w:t>
      </w:r>
    </w:p>
    <w:p w:rsidR="00000000" w:rsidDel="00000000" w:rsidP="00000000" w:rsidRDefault="00000000" w:rsidRPr="00000000" w14:paraId="00000057">
      <w:pPr>
        <w:numPr>
          <w:ilvl w:val="0"/>
          <w:numId w:val="3"/>
        </w:numP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Run: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33333"/>
          <w:sz w:val="21"/>
          <w:szCs w:val="21"/>
          <w:rtl w:val="0"/>
        </w:rPr>
        <w:t xml:space="preserve">python xml_processor.py</w:t>
      </w:r>
    </w:p>
    <w:p w:rsidR="00000000" w:rsidDel="00000000" w:rsidP="00000000" w:rsidRDefault="00000000" w:rsidRPr="00000000" w14:paraId="00000058">
      <w:pPr>
        <w:numPr>
          <w:ilvl w:val="0"/>
          <w:numId w:val="3"/>
        </w:numPr>
        <w:spacing w:after="1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Results will be generated in CSV format</w:t>
      </w:r>
    </w:p>
    <w:p w:rsidR="00000000" w:rsidDel="00000000" w:rsidP="00000000" w:rsidRDefault="00000000" w:rsidRPr="00000000" w14:paraId="00000059">
      <w:pPr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240" w:lineRule="auto"/>
        <w:rPr>
          <w:b w:val="1"/>
          <w:bCs w:val="1"/>
          <w:i w:val="1"/>
          <w:iCs w:val="1"/>
          <w:color w:val="333333"/>
          <w:sz w:val="21"/>
          <w:szCs w:val="21"/>
        </w:rPr>
      </w:pPr>
      <w:r w:rsidDel="00000000" w:rsidR="00000000" w:rsidRPr="00000000">
        <w:rPr>
          <w:b w:val="1"/>
          <w:bCs w:val="1"/>
          <w:i w:val="1"/>
          <w:iCs w:val="1"/>
          <w:color w:val="333333"/>
          <w:sz w:val="21"/>
          <w:szCs w:val="21"/>
          <w:rtl w:val="0"/>
        </w:rPr>
        <w:t xml:space="preserve">Analysis completed on: February 11, 2026</w:t>
      </w: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color w:val="333333"/>
          <w:sz w:val="21"/>
          <w:szCs w:val="21"/>
          <w:rtl w:val="0"/>
        </w:rPr>
        <w:t xml:space="preserve">Processing time: &lt; 5 seconds for 634 deals</w:t>
      </w: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color w:val="333333"/>
          <w:sz w:val="21"/>
          <w:szCs w:val="21"/>
          <w:rtl w:val="0"/>
        </w:rPr>
        <w:t xml:space="preserve">Data completeness: 100%</w:t>
      </w:r>
    </w:p>
    <w:p w:rsidR="00000000" w:rsidDel="00000000" w:rsidP="00000000" w:rsidRDefault="00000000" w:rsidRPr="00000000" w14:paraId="0000005B">
      <w:pPr>
        <w:rPr>
          <w:shd w:fill="f0f6fc" w:val="clear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333333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333333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333333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333333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333333"/>
        <w:sz w:val="21"/>
        <w:szCs w:val="21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333333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333333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333333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333333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github.com/Kovalivska/Finhike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