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ІДЕЯ ТА ПЕРЕВАГИ. Офіційний портал украінськоі аграрної науки. Швидко знайти потрібну інформацію, показати науковий потенціал НААН, Фермер має легко знайти потрібне рішення і контакт фахівця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Базова інформація є на існуючому сайті  -  www,naas.org.ua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ЦІЛЬОВА АУДИТОРІЯ – фермери та агровиробники, науковці та викладачі, студенти, агробізнес, Державні органи і громади, громадяни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ДИЗАЙН.  іСайт має наслідувати дизайн сайту НАН Украіни. За потреби можна додавати Образи – украінські поля, сади, лабораторіі, науковці в роботі, фермери, зерно, рослини, сучасні теплиці, карти Украіни, інфографіка, сучасна агро техніка.</w:t>
      </w:r>
    </w:p>
    <w:p>
      <w:pPr/>
      <w:r>
        <w:rPr>
          <w:rFonts w:ascii="Times" w:hAnsi="Times" w:cs="Times"/>
          <w:sz w:val="24"/>
          <w:sz-cs w:val="24"/>
        </w:rPr>
        <w:t xml:space="preserve">Сайти зразки: nan.gov.ua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МОВА. Має бути двомовна версія сайту Украінська та Англійська. Структура має відрізнятись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ЛОГО. Згори має бути логотип академіі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Далі Структурні блоки: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НААН сьогодні (зроблено як на існуючому сайті з додаванням нових блоків з можливістю додавання документів)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«Статут НААН» — актуальна редакція Статуту (у форматі PDF, доступному для завантаження).Структура;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«Керівництво та Президія» — склад Президії, біографії, фото та сфери відповідальності керівництва (Президент, Віцепрезиденти, Головний учений секретар);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«Рішення та Постанови Президії» — архів офіційних документів, наказів та постанов (важливо для підпорядкованих інститутів).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«Звіти про діяльність» — щорічні підсумкові звіти про діяльність НААН (текстові та презентаційні матеріали).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«Структура Академії» — розподіл за науковими відділеннями та повний перелік підпорядкованих наукових установ (установ-виконавців) із зазначенням їхніх контактів.  З полями: Назва, керівник, фото, лого, web, email, тел, факс, про установу. З міграцією даних з інснуючого сайту.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«Атестація та підготовка кадрів».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«Підготовка наукових кадрів (Аспірантура / Докторантура)» 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Ліцензії на провадження освітньої діяльності (за спеціальностями).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Освітньо-наукові програми (ОНП) та навчальні плани.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Правила прийому до аспірантури/докторантури (на поточний рік).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Вартість навчання та обсяги державного замовлення.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«Атестація наукових кадрів (Спеціалізовані вчені ради)»: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Повідомлення про захист дисертацій (PhD та докторських).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Тексти дисертацій, автореферати, відгуки опонентів (мають публікуватися у відкритому доступі за вимогами МОН за певну кількість днів до захисту).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Склад разових та постійних вчених рад.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«Наукові видання НААН» — реєстр фахових журналів Академії (із зазначенням категорії МОН — А або Б, посиланнями на їхні сайти та вимогами до публікацій).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«Державна атестація та акредитація» — результати проходження інститутами системи НААН державної атестації наукових установ (кваліфікаційні групи).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Тендерні та Прозорість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«Публічні закупівлі (Тендери). Важливо: Не потрібно вручну вносити кожен тендер. Тут розміщується інтегроване вікно (виджет) або пряме посилання на профіль НААН у системі Prozorro (за кодом ЄДРПОУ), а також річний план закупівель. Обґрунтування технічних та якісних характеристик предмета закупівлі, розміру бюджетного призначення, очікуваної вартості (вимога Постанови КМУ № 710).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«Майнові питання та Оренда». Інформація про намір передачі майна (земель, приміщень) в оренду. Посилання на аукціони в системі Prozorro.Продажі.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«Запобігання корупції». Антикорупційна програма НААН. Контакти уповноваженої особи з питань запобігання корупції. Канали для повідомлень від викривачів (електронна пошта/телефон).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«Доступ до публічної інформації» Форми та бланки для подання інформаційних запитів. Порядок оскарження рішень чи бездіяльності.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Публічна інформація. Блок лищається без змін. Забираються звідси Тенедери і Публіна інформація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Рада молодих вчених без змін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Інтелектуальна власність без змін.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Контакти знизу та пошук згори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Скрім структурних блоків має бути 3 стрічки новин: Новини, Новини відділень, Анонси в форматі НАН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Е-Бібілотека, Vidoeo, Agricaltures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Посилання на 4 сайти (приблизний зразок сторінки – додається)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CMS (системи управління)</w:t>
      </w:r>
    </w:p>
    <w:p>
      <w:pPr/>
      <w:r>
        <w:rPr>
          <w:rFonts w:ascii="Times" w:hAnsi="Times" w:cs="Times"/>
          <w:sz w:val="24"/>
          <w:sz-cs w:val="24"/>
        </w:rPr>
        <w:t xml:space="preserve">Багаторівневу систему адміністрування. Представники кожного відділення повинні мати свої доступи, щоб самостійно вести свої мікросайти і таким чином збільшеться кількість відвідувань і великий сайт повинен бути підхвачено в цитування.</w:t>
      </w:r>
    </w:p>
    <w:p>
      <w:pPr/>
      <w:r>
        <w:rPr>
          <w:rFonts w:ascii="Times" w:hAnsi="Times" w:cs="Times"/>
          <w:sz w:val="24"/>
          <w:sz-cs w:val="24"/>
        </w:rPr>
        <w:t xml:space="preserve">При цьому важливо налаштувати автоматичну агрегацію: коли відділення публікує у себе важливу новину, вона має за тегами сама виводитися на головну сторінку порталу.</w:t>
      </w:r>
    </w:p>
    <w:p>
      <w:pPr/>
      <w:r>
        <w:rPr>
          <w:rFonts w:ascii="Times" w:hAnsi="Times" w:cs="Times"/>
          <w:sz w:val="24"/>
          <w:sz-cs w:val="24"/>
        </w:rPr>
        <w:t xml:space="preserve">Головний Адмін, Головний редактор (EN), Редактор новин відділення, Редактор каталогу, Редактор науковців (HR)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БЕЗПЕКА.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HTTPS / TLS 1.3 — обов'язковий SSL-сертифікат.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Двофакторна автентифікація (2FA) для всіх адміністраторів CMS.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CSP-заголовки, захист від XSS та CSRF.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WAF — Веб-застосунковий міжмережевий екран (Cloudflare або ModSecurity + OWASP CRS).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DDoS-захист — через CDN провайдера (Cloudflare Free мінімум, рекомендовано Pro).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reCAPTCHA v3 або Cloudflare Turnstile на формі звернень.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Щоденне резервне копіювання, зберігання 30 днів, тестове відновлення щомісяця.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Оновлення CMS та плагінів протягом 48 годин після виходу патчів безпеки.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Повне журналювання подій: авторизації, зміни контенту, адмін-дії. Зберігання 1 рік.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RBAC-модель прав (налаштована у Розділі 4.4), принцип мінімальних привілеїв.</w:t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Виконавець надає технічну документацію системи для майбутньої атестаційної комісії.</w:t>
      </w:r>
    </w:p>
    <w:p>
      <w:pPr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spacing w:before="60" w:after="80"/>
      </w:pP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ind w:left="720"/>
        <w:spacing w:before="60"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ТЕХНОЛОГІЇ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Сервер / Хостинг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Apache 2.4+ або Nginx, PHP 8.1+, MySQL 8.0+, SSL/TLS 1.3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CMS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WordPress 6.5+ (рекомендовано) або погоджена headless-альтернатива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Шрифт e-Ukraine(необовязково але варто розглянути чи підходить даний шрифт до концецції дизайну сайту)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Self-hosted woff2 (з офіційного пакету Мінцифри), без зовнішнього CDN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Зображення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WebP-формат, ліниве завантаження, srcset. Фото від hero ≥ 1920×1080px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Продуктивність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Google PageSpeed Insights ≥ 90 балів (mobile та desktop)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Адаптивність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Мобільний ≤767px / планшет 768–1023px / десктопний 1024px+. Breakpoints з css/main.css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SEO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Schema.org (Стаття, Особа, Набір даних), Відкритий граф, sitemap.xml, robots.txt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Пошук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Повнотекстовий пошук по всьому сайту через CMS або плагін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Аналітика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Google Analytics 4 — підключити тег, налаштувати цілі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Кросбраузерність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Chrome, Firefox, Safari, Edge — останні 2 версії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Доступність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WCAG 2.1 рівень AA: контраст 4.5:1, клавіатурна навігація, ARIA, alt-тексти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.htaccess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>Готовий файл з прототипу — підключити: gzip, кеш, security headers</w:t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0D0D0D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ПЛАН ДІЙ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Затвердженн ТЗ на новий сайт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Розгортання на тестовому сайті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Міграція контенту. Перенесення архівів публікацій, важливих новин та нормативної бази зі старого ресурсу на новий.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Перенесення сайту на робочий сервер. 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Формування інструкцій та навчання. Навчання відповідальних осіб, зокрема секретарів відділень, які відповідатимуть за публікації.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Mykola Dovzhenko</dc:creator>
</cp:coreProperties>
</file>

<file path=docProps/meta.xml><?xml version="1.0" encoding="utf-8"?>
<meta xmlns="http://schemas.apple.com/cocoa/2006/metadata">
  <generator>CocoaOOXMLWriter/2575.7</generator>
</meta>
</file>