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5" w:after="295"/>
      </w:pPr>
      <w:r>
        <w:t xml:space="preserve">Meeting notes</w:t>
      </w:r>
    </w:p>
    <w:p>
      <w:pPr>
        <w:spacing w:before="220" w:after="220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/>
      </w:pPr>
      <w:r>
        <w:t xml:space="preserve">Decisions</w:t>
      </w:r>
    </w:p>
    <w:p>
      <w:pPr>
        <w:numPr>
          <w:ilvl w:val="0"/>
          <w:numId w:val="1"/>
        </w:numPr>
        <w:spacing w:before="220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after="220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4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5315"/>
        <w:gridCol w:w="4323"/>
      </w:tblGrid>
      <w:tr>
        <w:trPr>
          <w:tblHeader/>
        </w:trP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/>
            <w:r>
              <w:t xml:space="preserve">New store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</w:pPr>
            <w:r>
              <w:t xml:space="preserve">420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/>
            <w:r>
              <w:t xml:space="preserve">Online platform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220"/>
        <w:jc w:val="center"/>
      </w:pPr>
      <w:r>
        <w:rPr>
          <w:i/>
          <w:iCs/>
        </w:rPr>
        <w:t xml:space="preserve">Revenue by month, thousand dollars</w:t>
      </w:r>
    </w:p>
    <w:p>
      <w:pPr>
        <w:spacing w:before="220" w:after="220"/>
      </w:pPr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05000" cy="873125"/>
            <wp:effectExtent l="0" t="0" r="0" b="0"/>
            <wp:wrapSquare wrapText="bothSides"/>
            <wp:docPr id="2" name="Picture 2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Every region reported on time. The north opened its new store in May and the west moved half of its sales online; the south stayed flat, as planned. The chart on the right repeats the monthly revenue at a smaller size, so the text flows around it the way it does in the editor.</w:t>
      </w:r>
    </w:p>
    <w:p>
      <w:pPr>
        <w:spacing w:before="220" w:after="220"/>
        <w:ind w:left="600" w:right="600"/>
      </w:pPr>
      <w:r>
        <w:t xml:space="preserve">Every month of the quarter beat the same month of last year.</w:t>
      </w:r>
    </w:p>
    <w:p>
      <w:pPr>
        <w:spacing w:before="220" w:after="220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