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
        <w:contextualSpacing/>
        <w:jc w:val="center"/>
        <w:rPr/>
      </w:pPr>
      <w:r>
        <w:rPr>
          <w:rFonts w:ascii="Aptos Display" w:hAnsi="Aptos Display"/>
        </w:rPr>
        <w:t>Efficient Large Data Handling with FastAPI</w:t>
      </w:r>
    </w:p>
    <w:p>
      <w:pPr>
        <w:pStyle w:val="Heading1"/>
        <w:keepNext w:val="true"/>
        <w:spacing w:before="100" w:after="40"/>
        <w:rPr/>
      </w:pPr>
      <w:r>
        <w:rPr>
          <w:rFonts w:ascii="Aptos" w:hAnsi="Aptos"/>
        </w:rPr>
        <w:t>Learning goal</w:t>
      </w:r>
    </w:p>
    <w:p>
      <w:pPr>
        <w:pStyle w:val="Normal"/>
        <w:spacing w:lineRule="auto" w:line="252" w:before="0" w:after="60"/>
        <w:rPr/>
      </w:pPr>
      <w:r>
        <w:rPr>
          <w:rFonts w:ascii="Aptos" w:hAnsi="Aptos"/>
        </w:rPr>
        <w:t>My goal is to learn how to design and verify a FastAPI service that handles large datasets efficiently. The focus is bounded memory, incremental processing, reliable cleaning and validation, database loading, failure recovery, and measurable performance. FastAPI provides the API framework and application lifecycle.</w:t>
      </w:r>
    </w:p>
    <w:p>
      <w:pPr>
        <w:pStyle w:val="Heading1"/>
        <w:keepNext w:val="true"/>
        <w:spacing w:before="100" w:after="40"/>
        <w:rPr/>
      </w:pPr>
      <w:r>
        <w:rPr>
          <w:rFonts w:ascii="Aptos" w:hAnsi="Aptos"/>
        </w:rPr>
        <w:t>Study approach</w:t>
      </w:r>
    </w:p>
    <w:p>
      <w:pPr>
        <w:pStyle w:val="Normal"/>
        <w:spacing w:lineRule="auto" w:line="252" w:before="0" w:after="60"/>
        <w:rPr/>
      </w:pPr>
      <w:r>
        <w:rPr>
          <w:rFonts w:ascii="Aptos" w:hAnsi="Aptos"/>
        </w:rPr>
        <w:t>I will study documented behavior, run controlled experiments, integrate each concept, and compare input sizes. Evidence will cover peak memory, throughput, temporary disk, database batches, recovery, logs, traces, and metrics.</w:t>
      </w:r>
    </w:p>
    <w:p>
      <w:pPr>
        <w:pStyle w:val="Normal"/>
        <w:spacing w:lineRule="auto" w:line="240" w:before="0" w:after="80"/>
        <w:rPr/>
      </w:pPr>
      <w:r>
        <w:rPr>
          <w:rFonts w:ascii="Aptos" w:hAnsi="Aptos"/>
          <w:b/>
        </w:rPr>
        <w:t xml:space="preserve">Learning pipeline  </w:t>
      </w:r>
      <w:r>
        <w:rPr>
          <w:rFonts w:ascii="Aptos" w:hAnsi="Aptos"/>
          <w:color w:val="1F3F63"/>
        </w:rPr>
        <w:t>Receive → Store → Parse → Clean and validate → Batch write → Measure</w:t>
      </w:r>
    </w:p>
    <w:p>
      <w:pPr>
        <w:pStyle w:val="Heading1"/>
        <w:keepNext w:val="true"/>
        <w:spacing w:before="100" w:after="40"/>
        <w:rPr/>
      </w:pPr>
      <w:r>
        <w:rPr>
          <w:rFonts w:ascii="Aptos" w:hAnsi="Aptos"/>
        </w:rPr>
        <w:t>Primary areas of study</w:t>
      </w:r>
    </w:p>
    <w:tbl>
      <w:tblPr>
        <w:tblW w:w="10568"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3684"/>
        <w:gridCol w:w="6883"/>
      </w:tblGrid>
      <w:tr>
        <w:trPr>
          <w:trHeight w:val="453" w:hRule="atLeast"/>
        </w:trPr>
        <w:tc>
          <w:tcPr>
            <w:tcW w:w="3684"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bidi w:val="0"/>
              <w:spacing w:lineRule="auto" w:line="276" w:before="0" w:after="200"/>
              <w:jc w:val="left"/>
              <w:rPr/>
            </w:pPr>
            <w:r>
              <w:rPr>
                <w:rFonts w:ascii="Aptos" w:hAnsi="Aptos"/>
                <w:b/>
                <w:color w:val="FFFFFF"/>
                <w:sz w:val="18"/>
              </w:rPr>
              <w:t>Primary study area</w:t>
            </w:r>
          </w:p>
        </w:tc>
        <w:tc>
          <w:tcPr>
            <w:tcW w:w="6883" w:type="dxa"/>
            <w:tcBorders>
              <w:top w:val="single" w:sz="6" w:space="0" w:color="D9D9D9"/>
              <w:left w:val="single" w:sz="6" w:space="0" w:color="D9D9D9"/>
              <w:bottom w:val="single" w:sz="6" w:space="0" w:color="D9D9D9"/>
              <w:right w:val="single" w:sz="6" w:space="0" w:color="D9D9D9"/>
            </w:tcBorders>
            <w:shd w:fill="17365D"/>
            <w:vAlign w:val="center"/>
          </w:tcPr>
          <w:p>
            <w:pPr>
              <w:pStyle w:val="Normal"/>
              <w:widowControl/>
              <w:bidi w:val="0"/>
              <w:spacing w:lineRule="auto" w:line="276" w:before="0" w:after="200"/>
              <w:jc w:val="left"/>
              <w:rPr/>
            </w:pPr>
            <w:r>
              <w:rPr>
                <w:rFonts w:ascii="Aptos" w:hAnsi="Aptos"/>
                <w:b/>
                <w:color w:val="FFFFFF"/>
                <w:sz w:val="18"/>
              </w:rPr>
              <w:t>Knowledge and practical evidence</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sz w:val="18"/>
              </w:rPr>
              <w:t>Upload handling and limits</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val="0"/>
                <w:sz w:val="18"/>
              </w:rPr>
              <w:t>Use FastAPI UploadFile, enforce actual byte limits, copy bounded chunks, calculate checksums, finalize safely, and clean up failures.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sz w:val="18"/>
              </w:rPr>
              <w:t>Bounded memory and streaming</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val="0"/>
                <w:sz w:val="18"/>
              </w:rPr>
              <w:t>Separate byte chunks, records, and database batches. Set record and batch limits, avoid complete-file loading, and measure memory and backpressure.</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sz w:val="18"/>
              </w:rPr>
              <w:t>Incremental JSON parsing</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val="0"/>
                <w:sz w:val="18"/>
              </w:rPr>
              <w:t>Process NDJSON and JSON arrays record by record, with policies for malformed input, invalid UTF-8, oversized records, and recovery.</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sz w:val="18"/>
              </w:rPr>
              <w:t>Cleaning and validation</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val="0"/>
                <w:sz w:val="18"/>
              </w:rPr>
              <w:t>Apply deterministic cleaning, Pydantic validation, and business rules. Evaluate Polars for lazy or batch transformations when measurements support it.</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sz w:val="18"/>
              </w:rPr>
              <w:t>Database loading and staging</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val="0"/>
                <w:sz w:val="18"/>
              </w:rPr>
              <w:t>Use bounded transactions with rollback, retry, idempotency, and duplicate policies. Evaluate DuckDB for SQL staging separately from the operational database.</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sz w:val="18"/>
              </w:rPr>
              <w:t>Execution and job lifecycle</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val="0"/>
                <w:sz w:val="18"/>
              </w:rPr>
              <w:t>Understand async and blocking work, move long processing outside requests, track job progress, and document restart and durability limits.</w:t>
            </w:r>
          </w:p>
        </w:tc>
      </w:tr>
      <w:tr>
        <w:trPr/>
        <w:tc>
          <w:tcPr>
            <w:tcW w:w="3684"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sz w:val="18"/>
              </w:rPr>
              <w:t>Logging and OpenTelemetry</w:t>
            </w:r>
          </w:p>
        </w:tc>
        <w:tc>
          <w:tcPr>
            <w:tcW w:w="6883" w:type="dxa"/>
            <w:tcBorders>
              <w:top w:val="single" w:sz="6" w:space="0" w:color="D9D9D9"/>
              <w:left w:val="single" w:sz="6" w:space="0" w:color="D9D9D9"/>
              <w:bottom w:val="single" w:sz="6" w:space="0" w:color="D9D9D9"/>
              <w:right w:val="single" w:sz="6" w:space="0" w:color="D9D9D9"/>
            </w:tcBorders>
            <w:tcMar>
              <w:top w:w="66" w:type="dxa"/>
              <w:bottom w:w="66" w:type="dxa"/>
            </w:tcMar>
            <w:vAlign w:val="center"/>
          </w:tcPr>
          <w:p>
            <w:pPr>
              <w:pStyle w:val="Normal"/>
              <w:spacing w:lineRule="auto" w:line="240" w:before="0" w:after="0"/>
              <w:rPr/>
            </w:pPr>
            <w:r>
              <w:rPr>
                <w:rFonts w:ascii="Aptos" w:hAnsi="Aptos"/>
                <w:b w:val="0"/>
                <w:sz w:val="18"/>
              </w:rPr>
              <w:t>Correlate requests and jobs, report bounded progress, protect sensitive data, and use telemetry to locate slow or memory-intensive stages.</w:t>
            </w:r>
          </w:p>
        </w:tc>
      </w:tr>
      <w:tr>
        <w:trPr/>
        <w:tc>
          <w:tcPr>
            <w:tcW w:w="3684"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sz w:val="18"/>
              </w:rPr>
              <w:t>Performance and failure testing</w:t>
            </w:r>
          </w:p>
        </w:tc>
        <w:tc>
          <w:tcPr>
            <w:tcW w:w="6883" w:type="dxa"/>
            <w:tcBorders>
              <w:top w:val="single" w:sz="6" w:space="0" w:color="D9D9D9"/>
              <w:left w:val="single" w:sz="6" w:space="0" w:color="D9D9D9"/>
              <w:bottom w:val="single" w:sz="6" w:space="0" w:color="D9D9D9"/>
              <w:right w:val="single" w:sz="6" w:space="0" w:color="D9D9D9"/>
            </w:tcBorders>
            <w:shd w:fill="F2F7FC"/>
            <w:tcMar>
              <w:top w:w="66" w:type="dxa"/>
              <w:bottom w:w="66" w:type="dxa"/>
            </w:tcMar>
            <w:vAlign w:val="center"/>
          </w:tcPr>
          <w:p>
            <w:pPr>
              <w:pStyle w:val="Normal"/>
              <w:spacing w:lineRule="auto" w:line="240" w:before="0" w:after="0"/>
              <w:rPr/>
            </w:pPr>
            <w:r>
              <w:rPr>
                <w:rFonts w:ascii="Aptos" w:hAnsi="Aptos"/>
                <w:b w:val="0"/>
                <w:sz w:val="18"/>
              </w:rPr>
              <w:t>Compare input sizes and processing options. Record throughput, memory, disk, database, telemetry, and cleanup behavior under failure.</w:t>
            </w:r>
          </w:p>
        </w:tc>
      </w:tr>
    </w:tbl>
    <w:p>
      <w:pPr>
        <w:pStyle w:val="Heading1"/>
        <w:keepNext w:val="true"/>
        <w:spacing w:before="100" w:after="40"/>
        <w:rPr/>
      </w:pPr>
      <w:r>
        <w:rPr>
          <w:rFonts w:ascii="Aptos" w:hAnsi="Aptos"/>
        </w:rPr>
        <w:t>Practical application</w:t>
      </w:r>
    </w:p>
    <w:p>
      <w:pPr>
        <w:pStyle w:val="Normal"/>
        <w:spacing w:lineRule="auto" w:line="247" w:before="0" w:after="0"/>
        <w:rPr/>
      </w:pPr>
      <w:r>
        <w:rPr>
          <w:rFonts w:ascii="Aptos" w:hAnsi="Aptos"/>
        </w:rPr>
        <w:t>The Vendor Order Import Service provides the dataset and workflow for these experiments. It will process large JSON or NDJSON files incrementally and load accepted records in bounded database batches. Efficient large-data handling remains the learning goal.</w:t>
      </w:r>
    </w:p>
    <w:p>
      <w:r>
        <w:rPr>
          <w:rFonts w:ascii="Aptos" w:hAnsi="Aptos"/>
          <w:b/>
        </w:rPr>
        <w:t xml:space="preserve">Application flow  </w:t>
      </w:r>
      <w:r>
        <w:rPr>
          <w:rFonts w:ascii="Aptos" w:hAnsi="Aptos"/>
          <w:color w:val="1F3F63"/>
        </w:rPr>
        <w:t>Upload → Store safely → Parse → Clean and validate → Batch write → Observe</w:t>
      </w:r>
    </w:p>
    <w:p>
      <w:pPr>
        <w:pStyle w:val="Heading1"/>
        <w:keepNext/>
      </w:pPr>
      <w:r>
        <w:rPr>
          <w:rFonts w:ascii="Aptos" w:hAnsi="Aptos"/>
        </w:rPr>
        <w:t>Expected learning outcome</w:t>
      </w:r>
    </w:p>
    <w:p>
      <w:r>
        <w:rPr>
          <w:rFonts w:ascii="Aptos" w:hAnsi="Aptos"/>
        </w:rPr>
        <w:t>• Explain the memory, execution, storage, and failure boundaries of the pipeline.</w:t>
      </w:r>
      <w:r>
        <w:rPr>
          <w:rFonts w:ascii="Aptos" w:hAnsi="Aptos"/>
        </w:rPr>
        <w:br/>
      </w:r>
      <w:r>
        <w:rPr>
          <w:rFonts w:ascii="Aptos" w:hAnsi="Aptos"/>
        </w:rPr>
        <w:t>• Demonstrate efficient processing with repeatable tests and measurements across input sizes.</w:t>
      </w:r>
      <w:r>
        <w:rPr>
          <w:rFonts w:ascii="Aptos" w:hAnsi="Aptos"/>
        </w:rPr>
        <w:br/>
      </w:r>
      <w:r>
        <w:rPr>
          <w:rFonts w:ascii="Aptos" w:hAnsi="Aptos"/>
        </w:rPr>
        <w:t>• Select Python, Polars, DuckDB, and database techniques from evidence and state their limits.</w:t>
      </w:r>
    </w:p>
    <w:sectPr>
      <w:footerReference w:type="even" r:id="rId2"/>
      <w:footerReference w:type="default" r:id="rId3"/>
      <w:footerReference w:type="first" r:id="rId4"/>
      <w:type w:val="nextPage"/>
      <w:pgSz w:w="12240" w:h="15840"/>
      <w:pgMar w:left="835" w:right="835"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rFonts w:ascii="Aptos" w:hAnsi="Aptos"/>
        <w:b w:val="false"/>
        <w:color w:val="595959"/>
        <w:sz w:val="14"/>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rFonts w:ascii="Aptos" w:hAnsi="Aptos"/>
        <w:b w:val="false"/>
        <w:color w:val="595959"/>
        <w:sz w:val="14"/>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ＭＳ 明朝" w:cs=""/>
      <w:color w:val="00000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color w:val="000000"/>
      <w:spacing w:val="5"/>
      <w:kern w:val="2"/>
      <w:sz w:val="37"/>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Pages>
  <Words>358</Words>
  <Characters>2256</Characters>
  <CharactersWithSpaces>2589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en-IN</dc:language>
  <cp:lastModifiedBy/>
  <dcterms:modified xsi:type="dcterms:W3CDTF">2026-09-25T17:56:27Z</dcterms:modified>
  <cp:revision>3</cp:revision>
  <dc:subject>Applied FastAPI learning and implementation plan</dc:subject>
  <dc:title>Vendor Order Import Service Implementation Plan</dc:title>
</cp:coreProperties>
</file>

<file path=docProps/custom.xml><?xml version="1.0" encoding="utf-8"?>
<Properties xmlns="http://schemas.openxmlformats.org/officeDocument/2006/custom-properties" xmlns:vt="http://schemas.openxmlformats.org/officeDocument/2006/docPropsVTypes"/>
</file>