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L7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РѕРєС‚СЏР±СЂСЏ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2" w:name="висновок-завантажано-датасетякий-було-розподілено-на-навчальну-та-тестову-вибірки."/>
      <w:bookmarkEnd w:id="22"/>
      <w:r>
        <w:t xml:space="preserve">Висновок: завантажано датасет,який було розподілено на навчальну та тестову вибірки.</w:t>
      </w:r>
    </w:p>
    <w:p>
      <w:pPr>
        <w:pStyle w:val="Heading1"/>
      </w:pPr>
      <w:bookmarkStart w:id="23" w:name="fitting-predicting"/>
      <w:bookmarkEnd w:id="23"/>
      <w:r>
        <w:t xml:space="preserve">Fitting &amp; predicting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f_train[,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f_train[,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висновок-і-навчання-і-прогнозування-за-моделлю-k-найближчих-сусідів-здійснюється-однією-функцією.-у-результаті-отримуємо-вектор-класів-обєктів."/>
      <w:bookmarkEnd w:id="24"/>
      <w:r>
        <w:t xml:space="preserve">Висновок: і навчання, і прогнозування за моделлю k найближчих сусідів здійснюється однією функцією. У результаті отримуємо вектор класів об’єктів.</w:t>
      </w:r>
    </w:p>
    <w:p>
      <w:pPr>
        <w:pStyle w:val="Heading2"/>
      </w:pPr>
      <w:bookmarkStart w:id="25" w:name="confusion-matrix"/>
      <w:bookmarkEnd w:id="25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</w:t>
      </w:r>
      <w:r>
        <w:br w:type="textWrapping"/>
      </w:r>
      <w:r>
        <w:rPr>
          <w:rStyle w:val="VerbatimChar"/>
        </w:rPr>
        <w:t xml:space="preserve">##   0   116</w:t>
      </w:r>
      <w:r>
        <w:br w:type="textWrapping"/>
      </w:r>
      <w:r>
        <w:rPr>
          <w:rStyle w:val="VerbatimChar"/>
        </w:rPr>
        <w:t xml:space="preserve">##   1    15</w:t>
      </w:r>
    </w:p>
    <w:p>
      <w:pPr>
        <w:pStyle w:val="Heading2"/>
      </w:pPr>
      <w:bookmarkStart w:id="26" w:name="висновок-точність-моделі-1151-131-885-частка-невірно-класифікованих-випадків-150-131-114-.-чутливість-1-151-6-специфічність-115-1150-100-тобто-модель-більш-чутлива-до-виявлення-негативних-випадків."/>
      <w:bookmarkEnd w:id="26"/>
      <w:r>
        <w:t xml:space="preserve">Висновок: точність моделі – (115+1) / 131 = 88,5 %, частка невірно класифікованих випадків – (15+0) / 131 = 11,4 %. Чутливість – 1 / (15+1) = 6 %, специфічність – 115 / (115+0) = 100 %, тобто модель більш чутлива до виявлення негативних випадків.</w:t>
      </w:r>
    </w:p>
    <w:p>
      <w:pPr>
        <w:pStyle w:val="Heading2"/>
      </w:pPr>
      <w:bookmarkStart w:id="27" w:name="visualising-the-test-set-results"/>
      <w:bookmarkEnd w:id="27"/>
      <w:r>
        <w:t xml:space="preserve">Visualising the Test set 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(grid_set)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f_train[,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grid_set,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f_train[,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(X2))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(y_grid),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(grid_set,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(y_grid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'springgreen3'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випадки потрапляння до школи першого типу, зеленим – ло другого. Червоним виділена зона високої ймовірності потрапляння до першого типу. Модель описує нелінійний варіант розподіляючої кривої.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ee9e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L7</dc:title>
  <dc:creator>Kovel</dc:creator>
  <dcterms:created xsi:type="dcterms:W3CDTF">2020-10-31T11:06:09Z</dcterms:created>
  <dcterms:modified xsi:type="dcterms:W3CDTF">2020-10-31T11:06:09Z</dcterms:modified>
</cp:coreProperties>
</file>