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L8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.10.2020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2" w:name="висновок-завантажано-датасетякий-було-розподілено-на-навчальну-та-тестову-вибірки."/>
      <w:bookmarkEnd w:id="22"/>
      <w:r>
        <w:t xml:space="preserve">Висновок: завантажано датасет,який було розподілено на навчальну та тестову вибірки.</w:t>
      </w:r>
    </w:p>
    <w:p>
      <w:pPr>
        <w:pStyle w:val="Heading1"/>
      </w:pPr>
      <w:bookmarkStart w:id="23" w:name="fitting"/>
      <w:bookmarkEnd w:id="23"/>
      <w:r>
        <w:t xml:space="preserve">Fitting</w:t>
      </w:r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class_nb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traveltime,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f_train)</w:t>
      </w:r>
    </w:p>
    <w:p>
      <w:pPr>
        <w:pStyle w:val="Heading2"/>
      </w:pPr>
      <w:bookmarkStart w:id="24" w:name="висновок-для-навчання-моделі-використано-функцію-naivebayes."/>
      <w:bookmarkEnd w:id="24"/>
      <w:r>
        <w:t xml:space="preserve">Висновок: для навчання моделі використано функцію naiveBayes.</w:t>
      </w:r>
    </w:p>
    <w:p>
      <w:pPr>
        <w:pStyle w:val="Heading1"/>
      </w:pPr>
      <w:bookmarkStart w:id="25" w:name="predicting"/>
      <w:bookmarkEnd w:id="25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(class_nb,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)])</w:t>
      </w:r>
    </w:p>
    <w:p>
      <w:pPr>
        <w:pStyle w:val="Heading2"/>
      </w:pPr>
      <w:bookmarkStart w:id="26" w:name="висновок-визначено-класи-обєктів-вектор-у."/>
      <w:bookmarkEnd w:id="26"/>
      <w:r>
        <w:t xml:space="preserve">Висновок: визначено класи об’єктів (вектор у).</w:t>
      </w:r>
    </w:p>
    <w:p>
      <w:pPr>
        <w:pStyle w:val="Heading2"/>
      </w:pPr>
      <w:bookmarkStart w:id="27" w:name="confusion-matrix"/>
      <w:bookmarkEnd w:id="27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0 116   0</w:t>
      </w:r>
      <w:r>
        <w:br w:type="textWrapping"/>
      </w:r>
      <w:r>
        <w:rPr>
          <w:rStyle w:val="VerbatimChar"/>
        </w:rPr>
        <w:t xml:space="preserve">##   1  15   0</w:t>
      </w:r>
    </w:p>
    <w:p>
      <w:pPr>
        <w:pStyle w:val="Heading2"/>
      </w:pPr>
      <w:bookmarkStart w:id="28" w:name="висновок-точність-моделі-1150-131-877-частка-неправильно-класифікованих-випадків-160-131-12-.-чутливість-0-160-0-специфічність-115-1150-100-тобто-модель-чутлива-тільки-до-виявлення-негативних-випадків.-у-цьому-разі-тиххто-потрапляє-до-шкои-першого-типу."/>
      <w:bookmarkEnd w:id="28"/>
      <w:r>
        <w:t xml:space="preserve">Висновок: точність моделі – (115+0) / 131 = 87,7 , частка неправильно класифікованих випадків – (16+0) / 131 = 12 %. Чутливість – 0 / (16+0) = 0 %, специфічність – 115 / (115+0) = 100 %, тобто модель чутлива тільки до виявлення негативних випадків. У цьому разі – тих,хто потрапляє до шкои першого типу.</w:t>
      </w:r>
    </w:p>
    <w:p>
      <w:pPr>
        <w:pStyle w:val="Heading1"/>
      </w:pPr>
      <w:bookmarkStart w:id="29" w:name="visualising-the-test-set-results"/>
      <w:bookmarkEnd w:id="29"/>
      <w:r>
        <w:t xml:space="preserve">Visualising the Test set 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(grid_set)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(class_nb, grid_set)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'Naive Bayes'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(X2))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(y_grid),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contour.default(X1, X2, matrix(as.numeric(y_grid), length(X1), : все</w:t>
      </w:r>
      <w:r>
        <w:br w:type="textWrapping"/>
      </w:r>
      <w:r>
        <w:rPr>
          <w:rStyle w:val="VerbatimChar"/>
        </w:rPr>
        <w:t xml:space="preserve">## значения z равны</w:t>
      </w:r>
    </w:p>
    <w:p>
      <w:pPr>
        <w:pStyle w:val="SourceCode"/>
      </w:pPr>
      <w:r>
        <w:rPr>
          <w:rStyle w:val="KeywordTok"/>
        </w:rPr>
        <w:t xml:space="preserve">points</w:t>
      </w:r>
      <w:r>
        <w:rPr>
          <w:rStyle w:val="NormalTok"/>
        </w:rPr>
        <w:t xml:space="preserve">(grid_set,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(y_grid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'springgreen3'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випадки потрапляння до школи першого типу, зеленим – ло другого. Зеленим виділена зона високої ймовірності потрапляння до другого типу. Модель описує нелінійний варіант розподіляючої кривої.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8c47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L8</dc:title>
  <dc:creator>Kovel</dc:creator>
  <dcterms:created xsi:type="dcterms:W3CDTF">2020-11-01T14:32:28Z</dcterms:created>
  <dcterms:modified xsi:type="dcterms:W3CDTF">2020-11-01T14:32:28Z</dcterms:modified>
</cp:coreProperties>
</file>