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5B41A" w14:textId="77777777" w:rsidR="00C72645" w:rsidRDefault="00C72645" w:rsidP="00C72645">
      <w:r>
        <w:t xml:space="preserve">Transport in Belarus is well-developed and plays a crucial role in connecting the country both domestically and internationally. The nation boasts an extensive network of roads, railways, and public transit systems that facilitate the movement of people and goods. Rail transport is particularly significant, with Belarusian railways serving as one of the most important modes of transportation for both passengers and freight, linking major cities like Minsk, Brest, and Gomel, as well as providing vital connections to neighboring countries such as Russia, Poland, and Ukraine. </w:t>
      </w:r>
    </w:p>
    <w:p w14:paraId="781B38A3" w14:textId="77777777" w:rsidR="00C72645" w:rsidRDefault="00C72645" w:rsidP="00C72645"/>
    <w:p w14:paraId="35050EDF" w14:textId="4758B455" w:rsidR="0081619D" w:rsidRDefault="00C72645" w:rsidP="00C72645">
      <w:r>
        <w:t>Public transportation within cities is efficient and affordable, relying heavily on buses, trams, trolleybuses, and the Minsk Metro, which is the only subway system in the country. Additionally, air travel through Minsk National Airport connects Belarus to various European and global destinations. Despite its landlocked position, Belarus also utilizes waterways via its rivers and lakes for limited freight transport. Overall, the country’s transport infrastructure reflects its strategic location as a transit hub between Western Europe and Eurasia, although challenges related to modernization persist.</w:t>
      </w:r>
      <w:bookmarkStart w:id="0" w:name="_GoBack"/>
      <w:bookmarkEnd w:id="0"/>
    </w:p>
    <w:sectPr w:rsidR="0081619D">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C6"/>
    <w:rsid w:val="0009083D"/>
    <w:rsid w:val="001828C6"/>
    <w:rsid w:val="00C72645"/>
    <w:rsid w:val="00D35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BA9141-C1C2-409B-AFBC-ECE20A9D6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Kostya Avrukevich</dc:creator>
  <cp:keywords/>
  <dc:description/>
  <cp:lastModifiedBy>Kostya Avrukevich</cp:lastModifiedBy>
  <cp:revision>2</cp:revision>
  <dcterms:created xsi:type="dcterms:W3CDTF">2025-04-15T23:05:00Z</dcterms:created>
  <dcterms:modified xsi:type="dcterms:W3CDTF">2025-04-15T23:06:00Z</dcterms:modified>
</cp:coreProperties>
</file>