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691640" cy="1475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47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b/>
          <w:color w:val="006837"/>
          <w:sz w:val="32"/>
        </w:rPr>
        <w:t>UNIVERSIDAD POPULAR DEL CESAR</w:t>
        <w:br/>
      </w:r>
      <w:r>
        <w:rPr>
          <w:rFonts w:ascii="Segoe UI" w:hAnsi="Segoe UI"/>
          <w:b/>
          <w:color w:val="1A202C"/>
          <w:sz w:val="26"/>
        </w:rPr>
        <w:t>FACULTAD DE INGENIERÍA Y TECNOLÓGICAS</w:t>
        <w:br/>
        <w:t>DEPARTAMENTO DE INGENIERÍA DE SISTEMAS</w:t>
        <w:br/>
      </w:r>
    </w:p>
    <w:p>
      <w:pPr>
        <w:spacing w:before="720"/>
      </w:pPr>
    </w:p>
    <w:p>
      <w:pPr>
        <w:jc w:val="center"/>
      </w:pPr>
      <w:r>
        <w:rPr>
          <w:rFonts w:ascii="Segoe UI" w:hAnsi="Segoe UI"/>
          <w:b/>
          <w:color w:val="006837"/>
          <w:sz w:val="40"/>
        </w:rPr>
        <w:t>ESPECIFICACIÓN TÉCNICA Y MANUAL DE INGENIERÍA</w:t>
        <w:br/>
      </w:r>
      <w:r>
        <w:rPr>
          <w:rFonts w:ascii="Segoe UI" w:hAnsi="Segoe UI"/>
          <w:b/>
          <w:color w:val="ED1C24"/>
          <w:sz w:val="28"/>
        </w:rPr>
        <w:t>SISTEMA PEA-i: PROGRAMA ESTADÍSTICO DE ANÁLISIS DE INVESTIGACIÓN</w:t>
        <w:br/>
      </w:r>
      <w:r>
        <w:rPr>
          <w:rFonts w:ascii="Segoe UI" w:hAnsi="Segoe UI"/>
          <w:i/>
          <w:color w:val="1A202C"/>
          <w:sz w:val="21"/>
        </w:rPr>
        <w:t>Modelado de Hipercubo de Información 3D mediante Multilistas Ortogonales Puras, Ingesta Multifuente SCIENTI MinCiencias, Desacoplamiento de Interfaces Visuales y Verificación Formal</w:t>
      </w:r>
    </w:p>
    <w:p>
      <w:pPr>
        <w:spacing w:before="9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6837"/>
                <w:sz w:val="19"/>
              </w:rPr>
              <w:t>Asignatura: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A202C"/>
                <w:sz w:val="19"/>
              </w:rPr>
              <w:t>Estructura de Datos (Taller 2) — Semestre 2026-I</w:t>
            </w:r>
          </w:p>
        </w:tc>
      </w:tr>
      <w:tr>
        <w:tc>
          <w:tcPr>
            <w:tcW w:type="dxa" w:w="3168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6837"/>
                <w:sz w:val="19"/>
              </w:rPr>
              <w:t>Docente Titular: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A202C"/>
                <w:sz w:val="19"/>
              </w:rPr>
              <w:t>Ing. Adith Bismarck Pérez Orozco</w:t>
            </w:r>
          </w:p>
        </w:tc>
      </w:tr>
      <w:tr>
        <w:tc>
          <w:tcPr>
            <w:tcW w:type="dxa" w:w="3168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6837"/>
                <w:sz w:val="19"/>
              </w:rPr>
              <w:t>Estudiante / Desarrollador: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A202C"/>
                <w:sz w:val="19"/>
              </w:rPr>
              <w:t>Kovyn B. Mena (kbmena@unicesar.edu.co)</w:t>
            </w:r>
          </w:p>
        </w:tc>
      </w:tr>
      <w:tr>
        <w:tc>
          <w:tcPr>
            <w:tcW w:type="dxa" w:w="3168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6837"/>
                <w:sz w:val="19"/>
              </w:rPr>
              <w:t>Repositorio GitHub: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A202C"/>
                <w:sz w:val="19"/>
              </w:rPr>
              <w:t>https://github.com/Kovyn-Mena/PEA-I (Rama: feature/cpp-gui)</w:t>
            </w:r>
          </w:p>
        </w:tc>
      </w:tr>
      <w:tr>
        <w:tc>
          <w:tcPr>
            <w:tcW w:type="dxa" w:w="3168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6837"/>
                <w:sz w:val="19"/>
              </w:rPr>
              <w:t>Fecha de Entrega: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A202C"/>
                <w:sz w:val="19"/>
              </w:rPr>
              <w:t>Lunes 19 de Octubre de 2026 — 11:59 AM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1. Introducción y Alcance del Sistema PEA-i</w:t>
      </w:r>
    </w:p>
    <w:p>
      <w:pPr>
        <w:spacing w:after="160"/>
      </w:pPr>
      <w:r>
        <w:t>El Programa Estadístico de Análisis de Investigación (PEA-i) es una plataforma computacional desarrollada para la Universidad Popular del Cesar (UPC), orientada a la auditoría, análisis estadístico y catalogación de la producción científica institucional bajo el modelo nacional SCIENTI (GrupLAC y CvLAC de MinCiencias). El proyecto resuelve integralmente los requerimientos del Taller 2 de Estructura de Datos mediante dos aplicaciones autónomas y coordinadas (C++ y Python), diseñadas bajo un contrato relacional sagrado en SQLite3 y soportadas en estructuras de datos académicas de bajo nivel basadas exclusivamente en punteros/referencias a memoria.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F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Principio de Arquitectura: 'Consola Primero' y Desacoplamiento</w:t>
              <w:br/>
            </w:r>
            <w:r>
              <w:rPr>
                <w:rFonts w:ascii="Segoe UI" w:hAnsi="Segoe UI"/>
                <w:color w:val="1A202C"/>
                <w:sz w:val="19"/>
              </w:rPr>
              <w:t>El núcleo operativo evaluable en el examen parcial por el docente es 100% autosuficiente desde la terminal (CRUD, navegación interactiva con getch, consulta inteligente, filtrado por años y reporte tabular). Las interfaces gráficas (Dashboard Python con Matplotlib y Visualizador 3D en C++) actúan como capas desacopladas que enriquecen la experiencia del usuario sin introducir fallas ni dependencias bloqueantes al ejecutar en consola.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>2. Identificación de Variables de Entrada y Salida (Punto 6 del Taller)</w:t>
      </w:r>
    </w:p>
    <w:p>
      <w:r>
        <w:t>A continuación se identifican formalmente las variables del modelo de datos para cada una de las entidades:</w:t>
      </w:r>
    </w:p>
    <w:p>
      <w:pPr>
        <w:pStyle w:val="Heading2"/>
      </w:pPr>
      <w:r>
        <w:t>2.1 Entidad: Grupo de Investigación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8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86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E/S</w:t>
            </w:r>
          </w:p>
        </w:tc>
        <w:tc>
          <w:tcPr>
            <w:tcW w:type="dxa" w:w="432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 y Reglas de Negocio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codigo_grupo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Clave primaria GrupLAC oficial (ej. COL0002099, COL0005544).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nombre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Nombre registrado del grupo de investigación institucional.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clasificacion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(Enum)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Categoría MinCiencias: A1, A, B, C, Reconocido o Sin Clasificación.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area_conocimiento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Gran área OCDE (ej. Ciencias Naturales, Ingeniería y Tecnología).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lider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Nombre y apellidos del investigador líder/director del grupo.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anio_creacion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Entero (Año)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Año oficial de fundación del grupo en la Universidad Popular del Cesar.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activo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Booleano (1/0)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E/S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Estado lógico: 1 = Activo (computa métricas), 0 = Desactivado.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total_investigadores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Entero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Salida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Cálculo en O(1)/O(I) de investigadores adscritos activos.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total_productos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Entero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Salida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Cálculo acumulado de producción científica del grupo.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productos_por_ventana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Lista / Matriz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Salida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Distribución de productos en ventanas de observación (2 y 5 años).</w:t>
            </w:r>
          </w:p>
        </w:tc>
      </w:tr>
    </w:tbl>
    <w:p>
      <w:pPr>
        <w:spacing w:after="160"/>
      </w:pPr>
    </w:p>
    <w:p>
      <w:pPr>
        <w:pStyle w:val="Heading2"/>
      </w:pPr>
      <w:r>
        <w:t>2.2 Entidad: Investigador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8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86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E/S</w:t>
            </w:r>
          </w:p>
        </w:tc>
        <w:tc>
          <w:tcPr>
            <w:tcW w:type="dxa" w:w="432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 y Reglas de Negocio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documento_id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Cédula de ciudadanía o código CvLAC (cod_rh). Clave primaria.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nombre_completo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Nombres y apellidos completos del investigador institucional.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categoria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(Enum)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Escalafón MinCiencias: Investigador Emérito, Senior, Asociado, Junior.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formacion_academica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Máximo grado obtenido: Pregrado, Especialización, Maestría, Doctorado.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codigo_grupo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Clave foránea que referencia al grupo de investigación adscrito.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activo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Booleano (1/0)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E/S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Estado lógico del investigador: 1 = En ejercicio activo, 0 = Inactivo.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total_produccion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Entero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Salida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Total de obras y productos donde el investigador figura como autor.</w:t>
            </w:r>
          </w:p>
        </w:tc>
      </w:tr>
    </w:tbl>
    <w:p>
      <w:pPr>
        <w:spacing w:after="160"/>
      </w:pPr>
    </w:p>
    <w:p>
      <w:pPr>
        <w:pStyle w:val="Heading2"/>
      </w:pPr>
      <w:r>
        <w:t>2.3 Entidad: Producto de Investigación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8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86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E/S</w:t>
            </w:r>
          </w:p>
        </w:tc>
        <w:tc>
          <w:tcPr>
            <w:tcW w:type="dxa" w:w="432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 y Reglas de Negocio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id_producto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Código alfanumérico único institucional/MinCiencias (ej. PROD-2099-0001).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tipo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(Enum)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15 Tipologías oficiales: Articulo, Libro, Capitulo, Software, Patente, Trabajo de Grado, Tesis, Jurado, CursoCorto, Evento, Consultoria, Informe, Contenido, Regulacion, Prototipo, Diseno.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titulo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Título de la publicación o desarrollo tecnológico registrado.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anio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Entero (Año)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Año de publicación oficial (relevante para ventanas de observación).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categoria_minciencias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Nivel de indexación: A1, A, B, C o Sin Categoría.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validado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Booleano (1/0)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Detección fidedigna MinCiencias del aval chulo_1.jpg (1 = Avalado oficialmente en convocatoria, 0 = Pendiente/Sin aval).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codigo_grupo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Clave foránea que vincula el producto al grupo.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id_investigador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Clave foránea que atribuye la obra a su autor principal real.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activo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Booleano (1/0)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E/S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Estado lógico: 1 = Activo en estadísticas, 0 = Desactivado.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cumple_ventana_obs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Booleano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Salida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Indicador dinámico si el producto cae en la ventana (últimos 2 o 5 años).</w:t>
            </w:r>
          </w:p>
        </w:tc>
      </w:tr>
    </w:tbl>
    <w:p>
      <w:pPr>
        <w:spacing w:after="160"/>
      </w:pPr>
    </w:p>
    <w:p>
      <w:pPr>
        <w:pStyle w:val="Heading2"/>
      </w:pPr>
      <w:r>
        <w:t>2.4 Entidad: Perfil del Investigador (Hoja de Vida CvLAC Oficial)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8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86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E/S</w:t>
            </w:r>
          </w:p>
        </w:tc>
        <w:tc>
          <w:tcPr>
            <w:tcW w:type="dxa" w:w="432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 y Reglas de Negocio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documento_id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Cédula de ciudadanía o código CvLAC (cod_rh). Clave primaria y FK a Investigadores.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par_evaluador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(Enum)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Reconocimiento oficial MinCiencias como Par Evaluador (Si / No).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nombre_citaciones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Firma científica normalizada para citaciones bibliográficas internacionales.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nacionalidad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País de origen reportado en el currículo vitae.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sexo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Sexo registrado en la ficha oficial CvLAC.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scholar_url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(URL)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Enlace verificado al perfil académico de Google Scholar.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orcid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(URL)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Identificador persistente digital internacional ORCID.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formacion_academica</w:t>
            </w:r>
          </w:p>
        </w:tc>
        <w:tc>
          <w:tcPr>
            <w:tcW w:type="dxa" w:w="158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Cadena (Texto)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Entrada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Máximo nivel educativo formal alcanzado (Doctorado, Maestría, Pregrado).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3. Modelo del Hipercubo de Información 3D mediante Multilistas</w:t>
      </w:r>
    </w:p>
    <w:p>
      <w:r>
        <w:t>El requerimiento fundamental del docente exige modelar un Hipercubo de Información para representar la relación tridimensional entre Grupos (Eje X), Investigadores (Eje Y) y Productos Científicos (Eje Z). En computación tradicional, un hipercubo se modelaría como un arreglo tridimensional denso M[G][I][P]. No obstante, dicho enfoque generaría una matriz dispersa ineficiente donde más del 98% de las celdas serían nulas. Por tal razón, la solución implementada utiliza una MULTILISTA ORTOGONAL DINÁMICA DE ENLACES CRUZADOS.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86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percubo_multili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8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1: Topología Ortogonal del Hipercubo 3D en Memoria RAM sin Redundancia.</w:t>
      </w:r>
    </w:p>
    <w:p>
      <w:pPr>
        <w:pStyle w:val="Heading2"/>
      </w:pPr>
      <w:r>
        <w:t>3.1 Demostración Matemática de Eficiencia Espacial y Temporal</w:t>
      </w:r>
    </w:p>
    <w:p>
      <w:pPr>
        <w:spacing w:after="160"/>
      </w:pPr>
      <w:r>
        <w:t>Sean G el número de grupos de investigación, I el número total de investigadores institucionales y P el catálogo de productos científicos registrados:</w:t>
        <w:br/>
        <w:br/>
        <w:t>1. Complejidad Espacial en Matriz Tridimensional Densa: O(G × I × P)</w:t>
        <w:br/>
        <w:t xml:space="preserve">   Para una universidad con 10 grupos, 200 investigadores y 1,000 productos, una matriz tridimensional    requeriría 10 × 200 × 1,000 = 2,000,000 celdas en memoria, de las cuales solo ~1,000 contendrían datos reales.</w:t>
        <w:br/>
        <w:br/>
        <w:t>2. Complejidad Espacial en Multilista Ortogonal PEA-i: O(G + I + P + R)</w:t>
        <w:br/>
        <w:t xml:space="preserve">   Donde R es el número exacto de relaciones reales. Con los mismos datos, solo se instancian 10 + 200 + 1,000 + 1,000 =    2,210 nodos en memoria dinámica, reduciendo el consumo de memoria en un 99.89%.</w:t>
        <w:br/>
        <w:br/>
        <w:t>3. Complejidad Temporal de Consultas y Modificaciones:</w:t>
        <w:br/>
        <w:t xml:space="preserve">   • Inserción de un nuevo producto en cabecera: O(1) tiempo constante.</w:t>
        <w:br/>
        <w:t xml:space="preserve">   • Acceso cruzado Investigador ↔ Producto: O(1) siguiendo el puntero ortogonal directo.</w:t>
        <w:br/>
        <w:t xml:space="preserve">   • Desactivación lógica (Puntos 8 y 9): O(1) modificando el atributo booleano sin alterar punteros.</w:t>
        <w:br/>
        <w:t xml:space="preserve">   • Eliminación física: O(k) donde k es la cantidad de productos adscritos a re-enlazar.</w:t>
      </w:r>
    </w:p>
    <w:p>
      <w:pPr>
        <w:pStyle w:val="Heading2"/>
      </w:pPr>
      <w:r>
        <w:t>3.2 Las 4 Estructuras de Datos Académicas y su Rol en el Sistema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r>
        <w:t>3.3 Taxonomía Oficial y Matriz de Ponderación MinCiencias 2024 (Convocatoria 957)</w:t>
      </w:r>
    </w:p>
    <w:p>
      <w:r>
        <w:t>Frente a modelos obsoletos (pre-2022) que utilizaban listas planas de productos sin ponderación, el sistema PEA-i implementa la taxonomía oficial de la Convocatoria Nacional 957 de 2024 (Anexo 1 del Modelo MinCiencias), estructurada en 5 Familias Oficiales, clases de medición jerárquicas y pesos para el cálculo del Índice de Producción Ponderada (IPP):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Familia 2024</w:t>
            </w:r>
          </w:p>
        </w:tc>
        <w:tc>
          <w:tcPr>
            <w:tcW w:type="dxa" w:w="3168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Nombre Oficial</w:t>
            </w:r>
          </w:p>
        </w:tc>
        <w:tc>
          <w:tcPr>
            <w:tcW w:type="dxa" w:w="3312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Tipologías Representativas</w:t>
            </w:r>
          </w:p>
        </w:tc>
        <w:tc>
          <w:tcPr>
            <w:tcW w:type="dxa" w:w="1152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Peso Global (pts)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GNC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Generación de Nuevo Conocimiento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Artículos indexados A1-C (Q1-Q4), Libros de investigación, Capítulos y Patentes.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40 - 100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DTI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Desarrollo Tecnológico e Innovación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Software con soporte lógico ante DNDA, Prototipos industriales, Diseños y Regulaciones.</w:t>
            </w:r>
          </w:p>
        </w:tc>
        <w:tc>
          <w:tcPr>
            <w:tcW w:type="dxa" w:w="115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60 - 90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ASC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Apropiación Social del Conocimiento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Procesos participativos de CTeI con comunidades y Proyectos de innovación social territorial.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50 - 90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DPC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Divulgación Pública de la Ciencia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Ponencias en eventos científicos nacionales/internacionales, Talleres y Documentos de trabajo.</w:t>
            </w:r>
          </w:p>
        </w:tc>
        <w:tc>
          <w:tcPr>
            <w:tcW w:type="dxa" w:w="115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30 - 60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FRH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Formación de Recurso Humano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Tesis de Doctorado, Trabajos de grado de Maestría/Pregrado y Asesorías Programa Ondas (APO).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30 - 100</w:t>
            </w:r>
          </w:p>
        </w:tc>
      </w:tr>
    </w:tbl>
    <w:p>
      <w:pPr>
        <w:spacing w:after="160"/>
      </w:pPr>
    </w:p>
    <w:p>
      <w:pPr>
        <w:pStyle w:val="Heading2"/>
      </w:pPr>
      <w:r>
        <w:t>3.4 Generación de Informes Institucionales PDF Estilo GrupLAC (ReportLab)</w:t>
      </w:r>
    </w:p>
    <w:p>
      <w:r>
        <w:t>El sistema integra un motor de generación de reportes formales en formato PDF (src/python/core/reporte_pdf.py) utilizando la librería ReportLab. Cada informe reproduce la estructura oficial de la ficha GrupLAC de MinCiencias con los colores institucionales de la Universidad Popular del Cesar (Verde UPC #006837 y Rojo UPC #ED1C24), incluyendo la ficha técnica del grupo, el balance consolidado del Modelo 2024 (5 macro-familias y puntaje IPP), el cuerpo de investigadores adscritos y el catálogo de productos científicos con su estado de validación.</w:t>
      </w:r>
    </w:p>
    <w:p>
      <w:pPr>
        <w:spacing w:after="160"/>
      </w:pPr>
    </w:p>
    <w:p>
      <w:pPr>
        <w:pStyle w:val="Heading2"/>
      </w:pPr>
      <w:r>
        <w:t>3.5 Dataset Institucional Masivo de la UPC (61 Grupos y 3,335 Productos)</w:t>
      </w:r>
    </w:p>
    <w:p>
      <w:r>
        <w:t>Para responder a auditorías de gran escala y evidenciar la escalabilidad y eficiencia de la Multilista Ortogonal 3D, el sistema soporta la carga del dataset institucional completo de la Universidad Popular del Cesar (data/pea_data_upc.json y data/import_pea_json.py). Este repositorio abarca 61 grupos de investigación, más de 350 investigadores y 3,335 productos científicos normalizados y clasificados automáticamente bajo las reglas del Modelo MinCiencias 2024, manteniendo en todo momento la integridad de autorías reales.</w:t>
      </w:r>
    </w:p>
    <w:p>
      <w:pPr>
        <w:spacing w:after="240"/>
      </w:pPr>
    </w:p>
    <w:p>
      <w:r>
        <w:br w:type="page"/>
      </w:r>
    </w:p>
    <w:p>
      <w:pPr>
        <w:pStyle w:val="Heading1"/>
        <w:spacing w:before="280" w:after="120"/>
      </w:pPr>
      <w:r>
        <w:t>4. Especificación Formal de Requerimientos del Sistema (SPEC)</w:t>
      </w:r>
    </w:p>
    <w:p>
      <w:r>
        <w:t>A continuación se detallan las especificaciones técnicas rigurosas (precondiciones, postcondiciones, actores y reglas de excepción) para los módulos cardinales del sistema PEA-i: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RF-01: Carga Dual de Persistencia (Pregunta Inicial de Ejecución)</w:t>
              <w:br/>
            </w:r>
            <w:r>
              <w:rPr>
                <w:rFonts w:ascii="Segoe UI" w:hAnsi="Segoe UI"/>
                <w:color w:val="1A202C"/>
                <w:sz w:val="19"/>
              </w:rPr>
              <w:t>• Actor: Evaluador / Usuario.</w:t>
              <w:br/>
              <w:t>• Precondición: Base de datos 'data/pea_investigacion.db' disponible en disco o archivo ausente.</w:t>
              <w:br/>
              <w:t>• Entradas: Opción [1] Cargar persistencia SQLite | [2] Iniciar con estructuras en memoria vacías.</w:t>
              <w:br/>
              <w:t>• Postcondición: Si se elige [1], se puebla la Multilista Ortogonal 3D con los grupos, investigadores y productos reales. Si se elige [2], se inicializan los punteros de cabecera en NULL (0 registros).</w:t>
              <w:br/>
              <w:t>• Manejo de Errores: Si SQLite está bloqueada por concurrencia, el sistema activa busy_timeout=5000ms y modo WAL sin abortar.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RF-02: Atribución Real de Autoría y Desagregación Multi-Investigador</w:t>
              <w:br/>
            </w:r>
            <w:r>
              <w:rPr>
                <w:rFonts w:ascii="Segoe UI" w:hAnsi="Segoe UI"/>
                <w:color w:val="1A202C"/>
                <w:sz w:val="19"/>
              </w:rPr>
              <w:t>• Actor: Motor de Ingesta / Web Scraper.</w:t>
              <w:br/>
              <w:t>• Precondición: Lectura de cadenas bibliográficas GrupLAC (ej. 'Autores: Eydy Del Carmen Suarez...').</w:t>
              <w:br/>
              <w:t>• Comportamiento: El sistema extrae mediante expresiones regulares el nombre del autor real y lo busca en la sublista de investigadores del grupo. Si no existe, lo registra dinámicamente preservando su cédula o hash único.</w:t>
              <w:br/>
              <w:t>• Postcondición: Los productos se distribuyen equitativamente entre los más de 34 investigadores del grupo y no quedan concentrados artificialmente bajo el investigador líder.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RF-03: Filtrado por Ventana de Observación (Últimos 2 y 5 Años)</w:t>
              <w:br/>
            </w:r>
            <w:r>
              <w:rPr>
                <w:rFonts w:ascii="Segoe UI" w:hAnsi="Segoe UI"/>
                <w:color w:val="1A202C"/>
                <w:sz w:val="19"/>
              </w:rPr>
              <w:t>• Actor: Analista de Investigación / Evaluador MinCiencias.</w:t>
              <w:br/>
              <w:t>• Precondición: Hipercubo cargado con productos fechados entre 1996 y 2026.</w:t>
              <w:br/>
              <w:t>• Lógica de Filtrado: Se calcula la cota inferior anio_limite = anio_actual - N. Solo se computan productos con anio &gt;= anio_limite y activo == 1.</w:t>
              <w:br/>
              <w:t>• Postcondición: Generación instantánea de métricas de productividad, avales institucionales y clasificación MinCiencias para convocatorias oficiales.</w:t>
            </w:r>
          </w:p>
        </w:tc>
      </w:tr>
    </w:tbl>
    <w:p>
      <w:pPr>
        <w:spacing w:after="120"/>
      </w:pPr>
    </w:p>
    <w:p>
      <w:pPr>
        <w:pStyle w:val="Heading2"/>
      </w:pPr>
      <w:r>
        <w:t>4.1 Diagrama Formal de Casos de Uso (UML)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4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2: Diagrama de Casos de Uso del Sistema PEA-i (Interacción y Actores).</w:t>
      </w:r>
    </w:p>
    <w:p>
      <w:r>
        <w:br w:type="page"/>
      </w:r>
    </w:p>
    <w:p>
      <w:pPr>
        <w:pStyle w:val="Heading1"/>
        <w:spacing w:before="280" w:after="120"/>
      </w:pPr>
      <w:r>
        <w:t>5. Historias de Usuario (HU) con Criterios de Aceptación Gherkin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HU-01: Gestión de Entidades Científicas (CRUD Completo)</w:t>
              <w:br/>
            </w:r>
            <w:r>
              <w:rPr>
                <w:rFonts w:ascii="Segoe UI" w:hAnsi="Segoe UI"/>
                <w:color w:val="1A202C"/>
                <w:sz w:val="19"/>
              </w:rPr>
              <w:t>Como evaluador del sistema de investigación,</w:t>
              <w:br/>
              <w:t>Quiero registrar, listar, editar y consultar grupos, investigadores y productos,</w:t>
              <w:br/>
              <w:t>Para mantener actualizada la base científica de la Universidad Popular del Cesar.</w:t>
              <w:br/>
              <w:br/>
              <w:t>Escenario: Inserción y persistencia coordinada</w:t>
              <w:br/>
              <w:t>Dado que el usuario accede al Menú Principal de C++ o Python,</w:t>
              <w:br/>
              <w:t>Cuando selecciona la opción de registrar un nuevo investigador asociado a GIDSE,</w:t>
              <w:br/>
              <w:t>Entonces el sistema crea el nodo en la Multilista en memoria RAM en O(1),</w:t>
              <w:br/>
              <w:t>Y sincroniza automáticamente la fila en 'data/pea_investigacion.db' en SQLite.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HU-02: Desactivación Lógica vs. Eliminación Física</w:t>
              <w:br/>
            </w:r>
            <w:r>
              <w:rPr>
                <w:rFonts w:ascii="Segoe UI" w:hAnsi="Segoe UI"/>
                <w:color w:val="1A202C"/>
                <w:sz w:val="19"/>
              </w:rPr>
              <w:t>Como analista de convocatorias MinCiencias,</w:t>
              <w:br/>
              <w:t>Quiero desactivar temporalmente un producto o investigador sin destruirlo,</w:t>
              <w:br/>
              <w:t>Para preservar el récord histórico sin alterar las métricas del periodo actual.</w:t>
              <w:br/>
              <w:br/>
              <w:t>Escenario: Borrado lógico con reactivación</w:t>
              <w:br/>
              <w:t>Dado que un producto científico se encuentra activo en el hipercubo,</w:t>
              <w:br/>
              <w:t>Cuando el usuario selecciona la opción 'Desactivar',</w:t>
              <w:br/>
              <w:t>Entonces el atributo activo cambia a 0 tanto en RAM como en SQLite,</w:t>
              <w:br/>
              <w:t>Y el producto deja de sumarse en los totales sin romper los punteros cruzados.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HU-03: Filtrado Temporal por Ventana de Observación</w:t>
              <w:br/>
            </w:r>
            <w:r>
              <w:rPr>
                <w:rFonts w:ascii="Segoe UI" w:hAnsi="Segoe UI"/>
                <w:color w:val="1A202C"/>
                <w:sz w:val="19"/>
              </w:rPr>
              <w:t>Como director de investigaciones de la UPC,</w:t>
              <w:br/>
              <w:t>Quiero filtrar la producción científica por los últimos 2 o 5 años,</w:t>
              <w:br/>
              <w:t>Para estimar el puntaje del grupo en la convocatoria vigente de MinCiencias.</w:t>
              <w:br/>
              <w:br/>
              <w:t>Escenario: Aplicación de ventana de observación de 2 años</w:t>
              <w:br/>
              <w:t>Dado que el sistema tiene productos desde el año 2008 hasta el 2026,</w:t>
              <w:br/>
              <w:t>Cuando se aplica el filtro de 'Últimos 2 Años (2024-2026)',</w:t>
              <w:br/>
              <w:t>Entonces la consola y el dashboard muestran únicamente los productos de dicho rango.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HU-04: Ingesta Masiva desde Múltiples Fuentes con Cola TDA</w:t>
              <w:br/>
            </w:r>
            <w:r>
              <w:rPr>
                <w:rFonts w:ascii="Segoe UI" w:hAnsi="Segoe UI"/>
                <w:color w:val="1A202C"/>
                <w:sz w:val="19"/>
              </w:rPr>
              <w:t>Como operador de datos institucional,</w:t>
              <w:br/>
              <w:t>Quiero encolar URLs de GrupLAC/CvLAC, archivos PDF y CSV de respaldo,</w:t>
              <w:br/>
              <w:t>Para alimentar el hipercubo sin transcripción manual de registros.</w:t>
              <w:br/>
              <w:br/>
              <w:t>Escenario: Descarga y parseo automático de GrupLAC</w:t>
              <w:br/>
              <w:t>Dado que se suministra la URL pública de MinCiencias del grupo GIDSE,</w:t>
              <w:br/>
              <w:t>Cuando el motor de ingesta procesa la tarea desde la Cola FIFO,</w:t>
              <w:br/>
              <w:t>Entonces se extraen automáticamente artículos, libros y autores reales sin duplicados.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68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6837"/>
                <w:sz w:val="21"/>
              </w:rPr>
              <w:t>[ESPECIFICACION] HU-05: Reversión de Cambios con Pila LIFO (Undo)</w:t>
              <w:br/>
            </w:r>
            <w:r>
              <w:rPr>
                <w:rFonts w:ascii="Segoe UI" w:hAnsi="Segoe UI"/>
                <w:color w:val="1A202C"/>
                <w:sz w:val="19"/>
              </w:rPr>
              <w:t>Como digitador del sistema,</w:t>
              <w:br/>
              <w:t>Quiero deshacer la última operación realizada en caso de cometer un error,</w:t>
              <w:br/>
              <w:t>Para restaurar el estado previo de las estructuras de datos de manera inmediata.</w:t>
              <w:br/>
              <w:br/>
              <w:t>Escenario: Deshacer modificación accidental</w:t>
              <w:br/>
              <w:t>Dado que se acaba de modificar la categoría de un producto de 'A1' a 'B',</w:t>
              <w:br/>
              <w:t>Cuando el usuario invoca la opción 'Deshacer (Undo)',</w:t>
              <w:br/>
              <w:t>Entonces la Pila LIFO extrae el registro superior y restaura 'A1' en RAM y SQLite.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2B6CB0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ED1C24"/>
                <w:sz w:val="21"/>
              </w:rPr>
              <w:t>[ESPECIFICACION] HU-06: Dashboard Gráfico y Análisis Multivista (3 Vistas)</w:t>
              <w:br/>
            </w:r>
            <w:r>
              <w:rPr>
                <w:rFonts w:ascii="Segoe UI" w:hAnsi="Segoe UI"/>
                <w:color w:val="1A202C"/>
                <w:sz w:val="19"/>
              </w:rPr>
              <w:t>Como vicerrector de investigación,</w:t>
              <w:br/>
              <w:t>Quiero visualizar histogramas por año, diagramas de barras por categoría y 3 vistas,</w:t>
              <w:br/>
              <w:t>Para analizar el impacto científico de los grupos e investigadores.</w:t>
              <w:br/>
              <w:br/>
              <w:t>Escenario: Generación del Dashboard visual en Python</w:t>
              <w:br/>
              <w:t>Dado que el usuario invoca 'python Taller2_AB_PO_XX.py --gui',</w:t>
              <w:br/>
              <w:t>Cuando el motor Matplotlib procesa los datos agregados del hipercubo,</w:t>
              <w:br/>
              <w:t>Entonces se genera la vista gráfica interactiva con las 3 perspectivas obligatorias:</w:t>
              <w:br/>
              <w:t>i. Vista por Grupo, ii. Vista por Investigador, iii. Vista por Productos.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t>6. Arquitectura Técnica, Interoperabilidad y Complementos para 5.0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5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ist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5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3: Arquitectura Multicapa, Contrato SQLite e Interoperabilidad IPC.</w:t>
      </w:r>
    </w:p>
    <w:p>
      <w:pPr>
        <w:pStyle w:val="Heading2"/>
      </w:pPr>
      <w:r>
        <w:t>6.1 Rúbrica de Complementos para la Calificación Máxima (5.0 / 5.0)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Complemento (Punto 14)</w:t>
            </w:r>
          </w:p>
        </w:tc>
        <w:tc>
          <w:tcPr>
            <w:tcW w:type="dxa" w:w="3168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Implementación en el Proyecto</w:t>
            </w:r>
          </w:p>
        </w:tc>
        <w:tc>
          <w:tcPr>
            <w:tcW w:type="dxa" w:w="360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Impacto y Evidencia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14.a: Git y GitHub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Repositorio Git oficial con ramas 'dev', 'feature/cpp-gui', 'backup/pre-scraping' y flujo de commits atómicos.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Historial trazable, sin contaminación y respaldo limpio previo al scraping.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14.b: Base de Datos Relacional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SQLite3 con modo WAL (Write-Ahead Logging), busy_timeout=5000ms y llaves foráneas estrictas.</w:t>
            </w:r>
          </w:p>
        </w:tc>
        <w:tc>
          <w:tcPr>
            <w:tcW w:type="dxa" w:w="360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Única fuente de la verdad compartida simultáneamente entre C++ y Python.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14.c: GUI Creativa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Doble interfaz: Canvas 3D interactivo para C++ y Dashboard visual con Matplotlib para Python.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Visualización intuitiva del hipercubo sin comprometer la independencia de la consola.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14.d: Interoperabilidad entre Lenguajes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Tuberías IPC con popen() bidireccional entre el binario C++ y los scripts Python.</w:t>
            </w:r>
          </w:p>
        </w:tc>
        <w:tc>
          <w:tcPr>
            <w:tcW w:type="dxa" w:w="360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C++ delega descargas y gráficos a Python; Python delega cálculos pesados a C++.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14.e: Documentación Formal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Documento Word formal de ingeniería con SPEC, diagramas, HUs y video de 10 min.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Cumplimiento al 100% de la norma académica institucional de la UPC.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14.f: ¿Rust? (Auditoría de Invariantes)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Módulo complementario en Rust (src/rust/) para validación formal y benchmarks a nivel de microsegundos.</w:t>
            </w:r>
          </w:p>
        </w:tc>
        <w:tc>
          <w:tcPr>
            <w:tcW w:type="dxa" w:w="360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Garantía de rendimiento, seguridad de memoria y excelencia técnica.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80" w:after="120"/>
      </w:pPr>
      <w:r>
        <w:t>7. Guión Técnico para el Video de Sustentación (10 Minutos)</w:t>
      </w:r>
    </w:p>
    <w:p>
      <w:r>
        <w:t>De acuerdo con las Notas 2 y 3 del Taller 2, el video explicativo debe durar aproximadamente 10 minutos, respetar la identidad institucional de la UPC y mostrar a los expositores en cámara durante toda la presentación. A continuación se presenta la pauta cronométrica recomendada: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Minuto</w:t>
            </w:r>
          </w:p>
        </w:tc>
        <w:tc>
          <w:tcPr>
            <w:tcW w:type="dxa" w:w="216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32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Contenido y Demostración en Pantalla</w:t>
            </w:r>
          </w:p>
        </w:tc>
        <w:tc>
          <w:tcPr>
            <w:tcW w:type="dxa" w:w="144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00:00 - 01:30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Introducción &amp; Arquitectura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Presentación personal en cámara, contextualización UPC, modelo SCIENTI y el Hipercubo 3D en Multilista.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Estudiante A</w:t>
            </w:r>
          </w:p>
        </w:tc>
      </w:tr>
      <w:tr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01:30 - 03:30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Demostración C++ (Core)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Ejecución de './pea_cpp'. Pregunta inicial [1]/[2], navegación con getch, búsqueda inteligente y filtros de años.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Estudiante A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03:30 - 05:30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Demostración Python &amp; Ingesta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Ejecución de 'Taller2_AB_PO_XX.py'. Demostración de la Cola FIFO procesando GrupLAC y CSV.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Estudiante B</w:t>
            </w:r>
          </w:p>
        </w:tc>
      </w:tr>
      <w:tr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05:30 - 07:30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Dashboards Gráficos (3 Vistas)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Exhibición del Dashboard con Matplotlib (--gui), histogramas 1996-2026, vistas por grupo, autor y producto.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Estudiante B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07:30 - 09:00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Pila Undo &amp; SQLite WAL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Demostración en vivo de modificación de datos y reversión instantánea con la Pila LIFO. Verificación en SQLite.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Estudiante A</w:t>
            </w:r>
          </w:p>
        </w:tc>
      </w:tr>
      <w:tr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09:00 - 10:00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Conclusiones &amp; Cierre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Resumen de complementos implementados (interoperabilidad popen, módulo Rust, cero fugas de memoria).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Ambos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t>8. Guía Rápida de Compilación y Ejecución para el Docente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ED1C24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ED1C24"/>
                <w:sz w:val="21"/>
              </w:rPr>
              <w:t>[ESPECIFICACION] Instrucciones Clave para Evaluación Rápida</w:t>
              <w:br/>
            </w:r>
            <w:r>
              <w:rPr>
                <w:rFonts w:ascii="Segoe UI" w:hAnsi="Segoe UI"/>
                <w:color w:val="1A202C"/>
                <w:sz w:val="19"/>
              </w:rPr>
              <w:t>El proyecto incluye un 'Makefile' universal configurado tanto para Linux como para Windows (MinGW/MSYS2):</w:t>
              <w:br/>
              <w:br/>
              <w:t>• Para compilar y ejecutar C++: make run-cpp  (o directamente: ./pea_cpp)</w:t>
              <w:br/>
              <w:t>• Para ejecutar la consola Python: make run-py  (o: python3 Taller2_AB_PO_XX.py)</w:t>
              <w:br/>
              <w:t>• Para ejecutar el Dashboard Gráfico Python: python3 Taller2_AB_PO_XX.py --gui</w:t>
              <w:br/>
              <w:t>• Para ejecutar todas las pruebas unitarias: make test</w:t>
              <w:br/>
              <w:t>• Para regenerar la base de datos limpia con datos reales: python3 data/init_db.py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t>9. Catálogo Oficial MinCiencias 2024 (70 Subtipos) y Suite de Diagramas UML</w:t>
      </w:r>
    </w:p>
    <w:p>
      <w:r>
        <w:t>El motor de clasificación de PEA-i incorpora el Anexo 1 completo de la Convocatoria Nacional 957 de MinCiencias (Documento Oficial M601PR04G01 v02), abarcando las 5 grandes familias de producción científica, 70 subtipos oficiales y 170 categorías de calidad con sus respectivos pesos relativos, pesos globales y clases de medición (TOP, A, B):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 Familia</w:t>
            </w:r>
          </w:p>
        </w:tc>
        <w:tc>
          <w:tcPr>
            <w:tcW w:type="dxa" w:w="4464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Denominación Oficial MinCiencias 2024</w:t>
            </w:r>
          </w:p>
        </w:tc>
        <w:tc>
          <w:tcPr>
            <w:tcW w:type="dxa" w:w="1440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Subtipos</w:t>
            </w:r>
          </w:p>
        </w:tc>
        <w:tc>
          <w:tcPr>
            <w:tcW w:type="dxa" w:w="1728"/>
            <w:shd w:fill="0068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Categorías Indexadas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GNC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Generación de Nuevo Conocimiento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57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DTI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Desarrollo Tecnológico e Innovación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26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34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ASC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Apropiación Social del Conocimiento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11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DPC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Divulgación Pública de la Ciencia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21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48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FRH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Formación de Recurso Humano para la CTeI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20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TOTAL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Cobertura Integral Anexo 1 (MinCiencias 2024)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70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A202C"/>
                <w:sz w:val="17"/>
              </w:rPr>
              <w:t>170</w:t>
            </w:r>
          </w:p>
        </w:tc>
      </w:tr>
    </w:tbl>
    <w:p>
      <w:pPr>
        <w:spacing w:after="240"/>
      </w:pPr>
    </w:p>
    <w:p>
      <w:pPr>
        <w:pStyle w:val="Heading2"/>
      </w:pPr>
      <w:r>
        <w:t>9.1 Galería de Modelado Arquitectónico, Memoria RAM y Diagramas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de_u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01: Casos de Uso Generales del Sistema PEA-i.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87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o_entidad_rel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02: Modelo Entidad-Relación y Persistencia Relacional.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08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ultilista_memoria_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03: Topología de la Multilista Ortogonal 3D y Nodos en Memoria 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ases_cp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04: Diagrama de Clases y Estructuras TDA en C++17.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4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percubo_inform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05: Hipercubo de Información Multidimensional (Cortes OLAP).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encia_creacion_escritura_d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06: Secuencia de Creación con Escritura Dual (RAM + SQLite3).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14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uencia_ingesta_scient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07: Secuencia de Ingesta Scienti (GrupLAC / CvLAC / Datos Abiertos) y Deduplicación.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8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cuencia_membresias_regl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08: Secuencia de Atribución de Membresías y Reglas de Integridad.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12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uencia_validacion_fif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09: Secuencia de Procesamiento FIFO en la Cola de Ingesta/Validación.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12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cuencia_deshacer_lif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10: Secuencia de Reversión Transaccional LIFO en la Pila de Operaciones (Undo).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51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rquitectura_desplieg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Diagrama 11: Arquitectura Física de Integración Políglota (C++17, Python y SQLite3).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